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199680C2"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EF4C8C">
        <w:rPr>
          <w:rFonts w:ascii="Times New Roman" w:eastAsiaTheme="minorHAnsi" w:hAnsi="Times New Roman"/>
          <w:b/>
          <w:bCs/>
          <w:sz w:val="24"/>
          <w:szCs w:val="28"/>
          <w:lang w:val="en-US"/>
        </w:rPr>
        <w:t>107</w:t>
      </w:r>
      <w:r w:rsidR="00BC0334">
        <w:rPr>
          <w:rFonts w:ascii="Times New Roman" w:eastAsiaTheme="minorHAnsi" w:hAnsi="Times New Roman"/>
          <w:b/>
          <w:bCs/>
          <w:sz w:val="24"/>
          <w:szCs w:val="28"/>
          <w:lang w:val="en-US"/>
        </w:rPr>
        <w:t>b</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9D0F09" w:rsidRPr="00AA2D26">
        <w:rPr>
          <w:rFonts w:ascii="Times New Roman" w:eastAsiaTheme="minorHAnsi" w:hAnsi="Times New Roman" w:cstheme="minorBidi"/>
          <w:b/>
          <w:bCs/>
          <w:sz w:val="24"/>
          <w:szCs w:val="28"/>
          <w:lang w:val="en-US"/>
        </w:rPr>
        <w:t>2</w:t>
      </w:r>
      <w:r w:rsidR="00754EFD">
        <w:rPr>
          <w:rFonts w:ascii="Times New Roman" w:eastAsiaTheme="minorHAnsi" w:hAnsi="Times New Roman" w:cstheme="minorBidi"/>
          <w:b/>
          <w:bCs/>
          <w:sz w:val="24"/>
          <w:szCs w:val="28"/>
          <w:lang w:val="en-US"/>
        </w:rPr>
        <w:t>200396</w:t>
      </w:r>
    </w:p>
    <w:p w14:paraId="714EB9C1" w14:textId="700F0391"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9D0F09">
        <w:rPr>
          <w:rFonts w:ascii="Times New Roman" w:eastAsiaTheme="minorHAnsi" w:hAnsi="Times New Roman"/>
          <w:b/>
          <w:bCs/>
          <w:sz w:val="24"/>
          <w:szCs w:val="28"/>
          <w:lang w:val="en-US"/>
        </w:rPr>
        <w:t xml:space="preserve">January </w:t>
      </w:r>
      <w:r w:rsidR="002A487E">
        <w:rPr>
          <w:rFonts w:ascii="Times New Roman" w:eastAsiaTheme="minorHAnsi" w:hAnsi="Times New Roman"/>
          <w:b/>
          <w:bCs/>
          <w:sz w:val="24"/>
          <w:szCs w:val="28"/>
          <w:lang w:val="en-US"/>
        </w:rPr>
        <w:t>1</w:t>
      </w:r>
      <w:r w:rsidR="009D0F09">
        <w:rPr>
          <w:rFonts w:ascii="Times New Roman" w:eastAsiaTheme="minorHAnsi" w:hAnsi="Times New Roman"/>
          <w:b/>
          <w:bCs/>
          <w:sz w:val="24"/>
          <w:szCs w:val="28"/>
          <w:lang w:val="en-US"/>
        </w:rPr>
        <w:t>7</w:t>
      </w:r>
      <w:r w:rsidR="002A487E" w:rsidRPr="0077228F">
        <w:rPr>
          <w:rFonts w:ascii="Times New Roman" w:eastAsiaTheme="minorHAnsi" w:hAnsi="Times New Roman"/>
          <w:b/>
          <w:bCs/>
          <w:sz w:val="24"/>
          <w:szCs w:val="28"/>
          <w:vertAlign w:val="superscript"/>
          <w:lang w:val="en-US"/>
        </w:rPr>
        <w:t>th</w:t>
      </w:r>
      <w:r w:rsidR="002A487E">
        <w:rPr>
          <w:rFonts w:ascii="Times New Roman" w:eastAsiaTheme="minorHAnsi" w:hAnsi="Times New Roman"/>
          <w:b/>
          <w:bCs/>
          <w:sz w:val="24"/>
          <w:szCs w:val="28"/>
          <w:lang w:val="en-US"/>
        </w:rPr>
        <w:t>-</w:t>
      </w:r>
      <w:r w:rsidR="009D0F09">
        <w:rPr>
          <w:rFonts w:ascii="Times New Roman" w:eastAsiaTheme="minorHAnsi" w:hAnsi="Times New Roman"/>
          <w:b/>
          <w:bCs/>
          <w:sz w:val="24"/>
          <w:szCs w:val="28"/>
          <w:lang w:val="en-US"/>
        </w:rPr>
        <w:t>25</w:t>
      </w:r>
      <w:r w:rsidR="002A487E" w:rsidRPr="0077228F">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w:t>
      </w:r>
      <w:r w:rsidR="009D0F09">
        <w:rPr>
          <w:rFonts w:ascii="Times New Roman" w:eastAsiaTheme="minorHAnsi" w:hAnsi="Times New Roman"/>
          <w:b/>
          <w:bCs/>
          <w:sz w:val="24"/>
          <w:szCs w:val="28"/>
          <w:lang w:val="en-US"/>
        </w:rPr>
        <w:t>2</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70A64A6" w14:textId="6F214163" w:rsidR="00C934FD" w:rsidRPr="00E6057E" w:rsidRDefault="00D407BB" w:rsidP="00C4111E">
      <w:pPr>
        <w:jc w:val="both"/>
        <w:rPr>
          <w:rFonts w:ascii="Times New Roman" w:hAnsi="Times New Roman" w:cs="Times New Roman"/>
        </w:rPr>
      </w:pPr>
      <w:r>
        <w:rPr>
          <w:rFonts w:ascii="Times New Roman" w:hAnsi="Times New Roman" w:cs="Times New Roman"/>
        </w:rPr>
        <w:t>During RAN1 #</w:t>
      </w:r>
      <w:r w:rsidR="004D53E8">
        <w:rPr>
          <w:rFonts w:ascii="Times New Roman" w:hAnsi="Times New Roman" w:cs="Times New Roman"/>
        </w:rPr>
        <w:t>107</w:t>
      </w:r>
      <w:r w:rsidR="00D50281">
        <w:rPr>
          <w:rFonts w:ascii="Times New Roman" w:hAnsi="Times New Roman" w:cs="Times New Roman"/>
        </w:rPr>
        <w:t>-e</w:t>
      </w:r>
      <w:r>
        <w:rPr>
          <w:rFonts w:ascii="Times New Roman" w:hAnsi="Times New Roman" w:cs="Times New Roman"/>
        </w:rPr>
        <w:t xml:space="preserve">, enhancements to enable URLLC in unlicensed controlled environments were discussed [2]. </w:t>
      </w:r>
      <w:r w:rsidR="00F42ABF">
        <w:rPr>
          <w:rFonts w:ascii="Times New Roman" w:hAnsi="Times New Roman" w:cs="Times New Roman"/>
        </w:rPr>
        <w:t xml:space="preserve">In this contribution we </w:t>
      </w:r>
      <w:r w:rsidR="003B6262">
        <w:rPr>
          <w:rFonts w:ascii="Times New Roman" w:hAnsi="Times New Roman" w:cs="Times New Roman"/>
        </w:rPr>
        <w:t xml:space="preserve">discuss </w:t>
      </w:r>
      <w:r w:rsidR="002C1894">
        <w:rPr>
          <w:rFonts w:ascii="Times New Roman" w:hAnsi="Times New Roman" w:cs="Times New Roman"/>
        </w:rPr>
        <w:t>remaining issues to support UE-initiated COT for FBE</w:t>
      </w:r>
      <w:r w:rsidR="00710AA5">
        <w:rPr>
          <w:rFonts w:ascii="Times New Roman" w:hAnsi="Times New Roman" w:cs="Times New Roman"/>
        </w:rPr>
        <w:t>.</w:t>
      </w: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5718C6C7" w14:textId="1914C7D0"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The UE’s FFP</w:t>
      </w:r>
      <w:r w:rsidR="004E7C2F">
        <w:rPr>
          <w:rFonts w:ascii="Times New Roman" w:hAnsi="Times New Roman" w:cs="Times New Roman"/>
        </w:rPr>
        <w:t xml:space="preserve"> start time</w:t>
      </w:r>
      <w:r w:rsidR="0069679C">
        <w:rPr>
          <w:rFonts w:ascii="Times New Roman" w:hAnsi="Times New Roman" w:cs="Times New Roman"/>
        </w:rPr>
        <w:t>s</w:t>
      </w:r>
      <w:r w:rsidR="004E7C2F">
        <w:rPr>
          <w:rFonts w:ascii="Times New Roman" w:hAnsi="Times New Roman" w:cs="Times New Roman"/>
        </w:rPr>
        <w:t xml:space="preserv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w:t>
      </w:r>
      <w:r w:rsidR="009938F8">
        <w:rPr>
          <w:rFonts w:ascii="Times New Roman" w:hAnsi="Times New Roman" w:cs="Times New Roman"/>
        </w:rPr>
        <w:t xml:space="preserve">ongoing </w:t>
      </w:r>
      <w:r w:rsidR="00D7303E">
        <w:rPr>
          <w:rFonts w:ascii="Times New Roman" w:hAnsi="Times New Roman" w:cs="Times New Roman"/>
        </w:rPr>
        <w:t>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0E7E5D42" w14:textId="6EA2C729" w:rsidR="00C86BC4" w:rsidRDefault="00BE6F22" w:rsidP="001052C1">
      <w:pPr>
        <w:jc w:val="both"/>
        <w:rPr>
          <w:rFonts w:ascii="Times New Roman" w:hAnsi="Times New Roman" w:cs="Times New Roman"/>
        </w:rPr>
      </w:pPr>
      <w:r>
        <w:rPr>
          <w:rFonts w:ascii="Times New Roman" w:hAnsi="Times New Roman" w:cs="Times New Roman"/>
        </w:rPr>
        <w:t xml:space="preserve">For </w:t>
      </w:r>
      <w:r w:rsidR="0090699E">
        <w:rPr>
          <w:rFonts w:ascii="Times New Roman" w:hAnsi="Times New Roman" w:cs="Times New Roman"/>
        </w:rPr>
        <w:t>configured</w:t>
      </w:r>
      <w:r>
        <w:rPr>
          <w:rFonts w:ascii="Times New Roman" w:hAnsi="Times New Roman" w:cs="Times New Roman"/>
        </w:rPr>
        <w:t xml:space="preserve"> transmissions occurring at the beginning of a UE FFP, the following </w:t>
      </w:r>
      <w:r w:rsidR="00D23CBB">
        <w:rPr>
          <w:rFonts w:ascii="Times New Roman" w:hAnsi="Times New Roman" w:cs="Times New Roman"/>
        </w:rPr>
        <w:t>was agreed</w:t>
      </w:r>
      <w:r>
        <w:rPr>
          <w:rFonts w:ascii="Times New Roman" w:hAnsi="Times New Roman" w:cs="Times New Roman"/>
        </w:rPr>
        <w:t xml:space="preserve"> at RAN1 #10</w:t>
      </w:r>
      <w:r w:rsidR="00D23CBB">
        <w:rPr>
          <w:rFonts w:ascii="Times New Roman" w:hAnsi="Times New Roman" w:cs="Times New Roman"/>
        </w:rPr>
        <w:t>5</w:t>
      </w:r>
      <w:r>
        <w:rPr>
          <w:rFonts w:ascii="Times New Roman" w:hAnsi="Times New Roman" w:cs="Times New Roman"/>
        </w:rPr>
        <w:t>-e:</w:t>
      </w:r>
    </w:p>
    <w:p w14:paraId="3B62D904" w14:textId="77777777" w:rsidR="00023393" w:rsidRPr="00023393" w:rsidRDefault="00023393" w:rsidP="00023393">
      <w:pPr>
        <w:numPr>
          <w:ilvl w:val="0"/>
          <w:numId w:val="31"/>
        </w:numPr>
        <w:rPr>
          <w:rFonts w:ascii="Times New Roman" w:eastAsia="Batang" w:hAnsi="Times New Roman" w:cs="Times New Roman"/>
          <w:b/>
          <w:bCs/>
          <w:sz w:val="20"/>
          <w:szCs w:val="20"/>
          <w:u w:val="single"/>
          <w:lang w:val="en-GB" w:eastAsia="zh-CN"/>
        </w:rPr>
      </w:pPr>
      <w:r w:rsidRPr="00023393">
        <w:rPr>
          <w:rFonts w:ascii="Times New Roman" w:eastAsia="Batang" w:hAnsi="Times New Roman" w:cs="Times New Roman"/>
          <w:b/>
          <w:bCs/>
          <w:sz w:val="20"/>
          <w:szCs w:val="20"/>
          <w:lang w:val="en-GB" w:eastAsia="zh-CN"/>
        </w:rPr>
        <w:t>Alt-a is taken in the following agreement:</w:t>
      </w:r>
    </w:p>
    <w:p w14:paraId="5A2C4991" w14:textId="77777777" w:rsidR="00023393" w:rsidRPr="00023393" w:rsidRDefault="00023393" w:rsidP="00023393">
      <w:pPr>
        <w:ind w:left="1440"/>
        <w:rPr>
          <w:rFonts w:ascii="Times New Roman" w:eastAsia="Batang" w:hAnsi="Times New Roman" w:cs="Times New Roman"/>
          <w:i/>
          <w:iCs/>
          <w:sz w:val="20"/>
          <w:szCs w:val="20"/>
          <w:highlight w:val="green"/>
          <w:lang w:val="en-GB"/>
        </w:rPr>
      </w:pPr>
      <w:r w:rsidRPr="00023393">
        <w:rPr>
          <w:rFonts w:ascii="Times New Roman" w:eastAsia="Batang" w:hAnsi="Times New Roman" w:cs="Times New Roman"/>
          <w:i/>
          <w:iCs/>
          <w:sz w:val="20"/>
          <w:szCs w:val="20"/>
          <w:highlight w:val="green"/>
          <w:lang w:val="en-GB"/>
        </w:rPr>
        <w:t>Agreement:</w:t>
      </w:r>
    </w:p>
    <w:p w14:paraId="700F14B7" w14:textId="77777777" w:rsidR="00023393" w:rsidRPr="00023393" w:rsidRDefault="00023393" w:rsidP="00023393">
      <w:pPr>
        <w:ind w:left="1440"/>
        <w:rPr>
          <w:rFonts w:ascii="Times New Roman" w:eastAsia="Batang" w:hAnsi="Times New Roman" w:cs="Times New Roman"/>
          <w:i/>
          <w:iCs/>
          <w:sz w:val="20"/>
          <w:szCs w:val="20"/>
          <w:lang w:val="en-GB" w:eastAsia="ko-KR"/>
        </w:rPr>
      </w:pPr>
      <w:r w:rsidRPr="00023393">
        <w:rPr>
          <w:rFonts w:ascii="Times New Roman" w:eastAsia="Batang" w:hAnsi="Times New Roman" w:cs="Times New Roman"/>
          <w:i/>
          <w:iCs/>
          <w:sz w:val="20"/>
          <w:szCs w:val="20"/>
          <w:lang w:val="en-GB" w:eastAsia="ko-KR"/>
        </w:rPr>
        <w:t>In semi-static channel access mode when a UE can operate as UE-initiated COT,</w:t>
      </w:r>
    </w:p>
    <w:p w14:paraId="0D9AB6E8" w14:textId="77777777" w:rsidR="00023393" w:rsidRPr="00023393" w:rsidRDefault="00023393" w:rsidP="00023393">
      <w:pPr>
        <w:numPr>
          <w:ilvl w:val="0"/>
          <w:numId w:val="28"/>
        </w:numPr>
        <w:ind w:left="2160"/>
        <w:rPr>
          <w:rFonts w:ascii="Times New Roman" w:eastAsia="Times New Roman" w:hAnsi="Times New Roman" w:cs="Times New Roman"/>
          <w:i/>
          <w:iCs/>
          <w:sz w:val="20"/>
          <w:szCs w:val="20"/>
          <w:lang w:val="en-GB" w:eastAsia="ko-KR"/>
        </w:rPr>
      </w:pPr>
      <w:r w:rsidRPr="00023393">
        <w:rPr>
          <w:rFonts w:ascii="Times New Roman" w:eastAsia="Times New Roman" w:hAnsi="Times New Roman" w:cs="Times New Roman"/>
          <w:i/>
          <w:iC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036790AA" w14:textId="77777777" w:rsidR="00023393" w:rsidRPr="00023393" w:rsidRDefault="00023393" w:rsidP="00023393">
      <w:pPr>
        <w:numPr>
          <w:ilvl w:val="1"/>
          <w:numId w:val="28"/>
        </w:numPr>
        <w:ind w:left="2880"/>
        <w:rPr>
          <w:rFonts w:ascii="Times New Roman" w:eastAsia="Times New Roman" w:hAnsi="Times New Roman" w:cs="Times New Roman"/>
          <w:i/>
          <w:iCs/>
          <w:sz w:val="20"/>
          <w:szCs w:val="20"/>
          <w:lang w:val="en-GB" w:eastAsia="zh-CN"/>
        </w:rPr>
      </w:pPr>
      <w:r w:rsidRPr="00023393">
        <w:rPr>
          <w:rFonts w:ascii="Times New Roman" w:eastAsia="Times New Roman" w:hAnsi="Times New Roman" w:cs="Times New Roman"/>
          <w:b/>
          <w:bCs/>
          <w:i/>
          <w:iCs/>
          <w:sz w:val="20"/>
          <w:szCs w:val="20"/>
          <w:lang w:val="en-GB" w:eastAsia="ko-KR"/>
        </w:rPr>
        <w:t>Alt-a:</w:t>
      </w:r>
      <w:r w:rsidRPr="00023393">
        <w:rPr>
          <w:rFonts w:ascii="Times New Roman" w:eastAsia="Times New Roman" w:hAnsi="Times New Roman" w:cs="Times New Roman"/>
          <w:i/>
          <w:iC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7258DF2" w14:textId="77777777" w:rsidR="00023393" w:rsidRPr="00023393" w:rsidRDefault="00023393" w:rsidP="00023393">
      <w:pPr>
        <w:numPr>
          <w:ilvl w:val="1"/>
          <w:numId w:val="28"/>
        </w:numPr>
        <w:ind w:left="2880"/>
        <w:rPr>
          <w:rFonts w:ascii="Times New Roman" w:eastAsia="Times New Roman" w:hAnsi="Times New Roman" w:cs="Times New Roman"/>
          <w:sz w:val="20"/>
          <w:szCs w:val="20"/>
          <w:lang w:val="en-GB" w:eastAsia="zh-CN"/>
        </w:rPr>
      </w:pPr>
      <w:r w:rsidRPr="00023393">
        <w:rPr>
          <w:rFonts w:ascii="Times New Roman" w:eastAsia="Times New Roman" w:hAnsi="Times New Roman" w:cs="Times New Roman"/>
          <w:b/>
          <w:bCs/>
          <w:i/>
          <w:iCs/>
          <w:sz w:val="20"/>
          <w:szCs w:val="20"/>
          <w:lang w:val="en-GB" w:eastAsia="ko-KR"/>
        </w:rPr>
        <w:t>Alt-b:</w:t>
      </w:r>
      <w:r w:rsidRPr="00023393">
        <w:rPr>
          <w:rFonts w:ascii="Times New Roman" w:eastAsia="Times New Roman" w:hAnsi="Times New Roman" w:cs="Times New Roman"/>
          <w:i/>
          <w:iCs/>
          <w:sz w:val="20"/>
          <w:szCs w:val="20"/>
          <w:lang w:val="en-GB" w:eastAsia="ko-KR"/>
        </w:rPr>
        <w:t xml:space="preserve"> The UE assumes that the configured UL transmission corresponds to UE-initiated COT.</w:t>
      </w:r>
      <w:r w:rsidRPr="00023393">
        <w:rPr>
          <w:rFonts w:ascii="Times New Roman" w:eastAsia="Times New Roman" w:hAnsi="Times New Roman" w:cs="Times New Roman"/>
          <w:i/>
          <w:iCs/>
          <w:sz w:val="20"/>
          <w:szCs w:val="20"/>
          <w:lang w:val="en-GB"/>
        </w:rPr>
        <w:t>.</w:t>
      </w:r>
    </w:p>
    <w:p w14:paraId="7FB892C9" w14:textId="77777777" w:rsidR="00803BA7" w:rsidRPr="00023393" w:rsidRDefault="00803BA7" w:rsidP="000819C1">
      <w:pPr>
        <w:jc w:val="both"/>
        <w:rPr>
          <w:rFonts w:ascii="Times New Roman" w:hAnsi="Times New Roman" w:cs="Times New Roman"/>
          <w:lang w:val="en-GB"/>
        </w:rPr>
      </w:pPr>
    </w:p>
    <w:p w14:paraId="7085BC61" w14:textId="43BB8F99" w:rsidR="002A6E91" w:rsidRDefault="00063BFB" w:rsidP="001052C1">
      <w:pPr>
        <w:jc w:val="both"/>
        <w:rPr>
          <w:rFonts w:ascii="Times New Roman" w:hAnsi="Times New Roman" w:cs="Times New Roman"/>
        </w:rPr>
      </w:pPr>
      <w:r>
        <w:rPr>
          <w:rFonts w:ascii="Times New Roman" w:hAnsi="Times New Roman" w:cs="Times New Roman"/>
        </w:rPr>
        <w:t>However</w:t>
      </w:r>
      <w:r w:rsidR="009621DE">
        <w:rPr>
          <w:rFonts w:ascii="Times New Roman" w:hAnsi="Times New Roman" w:cs="Times New Roman"/>
        </w:rPr>
        <w:t>, there may be cases where a UE is not aware that a gNB has initiated a COT, for example if it has mis-detected a DL transmission. An IDLE/INACTIVE mode UE may also not be aware of whether there is a gNB-initiated COT when transmitting PRACH.</w:t>
      </w:r>
    </w:p>
    <w:p w14:paraId="120B5BF4" w14:textId="0D80B7BA" w:rsidR="00063BFB" w:rsidRDefault="00063BFB" w:rsidP="001052C1">
      <w:pPr>
        <w:jc w:val="both"/>
        <w:rPr>
          <w:rFonts w:ascii="Times New Roman" w:hAnsi="Times New Roman" w:cs="Times New Roman"/>
        </w:rPr>
      </w:pPr>
      <w:r>
        <w:rPr>
          <w:rFonts w:ascii="Times New Roman" w:hAnsi="Times New Roman" w:cs="Times New Roman"/>
          <w:lang w:val="en-GB"/>
        </w:rPr>
        <w:t>Moreover, blindly using the gNB-initiated COT has drawbacks as well. A</w:t>
      </w:r>
      <w:r w:rsidRPr="000819C1">
        <w:rPr>
          <w:rFonts w:ascii="Times New Roman" w:hAnsi="Times New Roman" w:cs="Times New Roman"/>
        </w:rPr>
        <w:t xml:space="preserve"> </w:t>
      </w:r>
      <w:r>
        <w:rPr>
          <w:rFonts w:ascii="Times New Roman" w:hAnsi="Times New Roman" w:cs="Times New Roman"/>
        </w:rPr>
        <w:t>COT could be initiated by the gNB in a slot for a specific type of transmission. For example, the COT may be initiated for high priority transmission. A UE having data to transmit may wish to use the configured resource occurring in a slot overlapped by the gNB-initiated COT. However, if the UE wishes to use the COT initiated by the gNB it is restricted in terms of the priority of the transmissions that can occur in the COT.</w:t>
      </w:r>
    </w:p>
    <w:p w14:paraId="6035D60E" w14:textId="0AD04DB2" w:rsidR="00FA4FD5" w:rsidRDefault="00FA4FD5" w:rsidP="001052C1">
      <w:pPr>
        <w:jc w:val="both"/>
        <w:rPr>
          <w:rFonts w:ascii="Times New Roman" w:hAnsi="Times New Roman" w:cs="Times New Roman"/>
        </w:rPr>
      </w:pPr>
      <w:r>
        <w:rPr>
          <w:rFonts w:ascii="Times New Roman" w:hAnsi="Times New Roman" w:cs="Times New Roman"/>
        </w:rPr>
        <w:lastRenderedPageBreak/>
        <w:t>In RAN1 #106b-e, the following was agreed:</w:t>
      </w:r>
    </w:p>
    <w:p w14:paraId="690AB1C2" w14:textId="77777777" w:rsidR="00FA4FD5" w:rsidRPr="005C51E9" w:rsidRDefault="00FA4FD5" w:rsidP="00FA4FD5">
      <w:pPr>
        <w:pStyle w:val="ListParagraph"/>
        <w:spacing w:after="0"/>
        <w:ind w:left="0"/>
        <w:rPr>
          <w:rFonts w:ascii="Times New Roman" w:eastAsia="Times New Roman" w:hAnsi="Times New Roman" w:cs="Times New Roman"/>
          <w:i/>
          <w:iCs/>
          <w:sz w:val="20"/>
          <w:szCs w:val="20"/>
          <w:highlight w:val="green"/>
          <w:lang w:eastAsia="ko-KR"/>
        </w:rPr>
      </w:pPr>
      <w:r w:rsidRPr="005C51E9">
        <w:rPr>
          <w:rFonts w:ascii="Times New Roman" w:hAnsi="Times New Roman" w:cs="Times New Roman"/>
          <w:i/>
          <w:iCs/>
          <w:sz w:val="20"/>
          <w:szCs w:val="20"/>
          <w:highlight w:val="green"/>
        </w:rPr>
        <w:t>Agreement</w:t>
      </w:r>
    </w:p>
    <w:p w14:paraId="5A525BA2" w14:textId="77777777" w:rsidR="00FA4FD5" w:rsidRPr="005C51E9" w:rsidRDefault="00FA4FD5" w:rsidP="00FA4FD5">
      <w:pPr>
        <w:rPr>
          <w:rFonts w:ascii="Times New Roman" w:hAnsi="Times New Roman" w:cs="Times New Roman"/>
          <w:i/>
          <w:iCs/>
          <w:sz w:val="20"/>
          <w:szCs w:val="20"/>
        </w:rPr>
      </w:pPr>
      <w:r w:rsidRPr="005C51E9">
        <w:rPr>
          <w:rFonts w:ascii="Times New Roman" w:hAnsi="Times New Roman" w:cs="Times New Roman"/>
          <w:i/>
          <w:iCs/>
          <w:sz w:val="20"/>
          <w:szCs w:val="20"/>
        </w:rPr>
        <w:t>In semi-static channel access mode, a DL transmission burst based on sharing of a UE initiated COT corresponding to a UE FFP, shall include scheduled DL transmission or a DCI intended for the UE that initiated that FFP.</w:t>
      </w:r>
    </w:p>
    <w:p w14:paraId="24922EDE" w14:textId="77777777" w:rsidR="00FA4FD5" w:rsidRPr="005C51E9" w:rsidRDefault="00FA4FD5" w:rsidP="00FA4FD5">
      <w:pPr>
        <w:numPr>
          <w:ilvl w:val="0"/>
          <w:numId w:val="36"/>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rPr>
        <w:t>A DL transmission to any other UE in the cell than the COT initiating UE and/or a broadcast transmission can be additionally included in the DL transmission burst if the gNB fulfils the following condition:</w:t>
      </w:r>
    </w:p>
    <w:p w14:paraId="171CCC66" w14:textId="77777777" w:rsidR="00FA4FD5" w:rsidRPr="005C51E9" w:rsidRDefault="00FA4FD5" w:rsidP="00FA4FD5">
      <w:pPr>
        <w:numPr>
          <w:ilvl w:val="1"/>
          <w:numId w:val="37"/>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lang w:eastAsia="zh-CN"/>
        </w:rPr>
        <w:t>It is gNB‘s responsibility to ensure that other UEs do not assume gNB-initiated COT based transmission for a UL transmission based on the detection of any transmission in the DL transmission burst.</w:t>
      </w:r>
    </w:p>
    <w:p w14:paraId="74415CBC" w14:textId="4876C370" w:rsidR="00FA4FD5" w:rsidRDefault="00FA4FD5" w:rsidP="001052C1">
      <w:pPr>
        <w:jc w:val="both"/>
        <w:rPr>
          <w:rFonts w:ascii="Times New Roman" w:hAnsi="Times New Roman" w:cs="Times New Roman"/>
        </w:rPr>
      </w:pPr>
    </w:p>
    <w:p w14:paraId="5381F50A" w14:textId="79989AE9" w:rsidR="00FA4FD5" w:rsidRDefault="008D690D" w:rsidP="001052C1">
      <w:pPr>
        <w:jc w:val="both"/>
        <w:rPr>
          <w:rFonts w:ascii="Times New Roman" w:hAnsi="Times New Roman" w:cs="Times New Roman"/>
        </w:rPr>
      </w:pPr>
      <w:r>
        <w:rPr>
          <w:rFonts w:ascii="Times New Roman" w:hAnsi="Times New Roman" w:cs="Times New Roman"/>
        </w:rPr>
        <w:t xml:space="preserve">A UE receiving a transmission from a gNB may incorrectly </w:t>
      </w:r>
      <w:r w:rsidR="00B62389">
        <w:rPr>
          <w:rFonts w:ascii="Times New Roman" w:hAnsi="Times New Roman" w:cs="Times New Roman"/>
        </w:rPr>
        <w:t xml:space="preserve">determine the COT initiating node. There may therefore be ambiguity as to whether the UE is </w:t>
      </w:r>
      <w:r w:rsidR="00DE5ADC">
        <w:rPr>
          <w:rFonts w:ascii="Times New Roman" w:hAnsi="Times New Roman" w:cs="Times New Roman"/>
        </w:rPr>
        <w:t>sharing a gNB-initiated COT or has initiated a COT itself for an uplink transmission.</w:t>
      </w:r>
    </w:p>
    <w:p w14:paraId="1CCEEB11" w14:textId="6FF13B9C" w:rsidR="00AE5841" w:rsidRDefault="00CC49C7" w:rsidP="001052C1">
      <w:pPr>
        <w:jc w:val="both"/>
        <w:rPr>
          <w:rFonts w:ascii="Times New Roman" w:hAnsi="Times New Roman" w:cs="Times New Roman"/>
        </w:rPr>
      </w:pPr>
      <w:r>
        <w:rPr>
          <w:rFonts w:ascii="Times New Roman" w:hAnsi="Times New Roman" w:cs="Times New Roman"/>
        </w:rPr>
        <w:t>In RAN1 #107-e the following was agreed:</w:t>
      </w:r>
    </w:p>
    <w:p w14:paraId="100AAF62" w14:textId="77777777" w:rsidR="00CC49C7" w:rsidRPr="00081B32" w:rsidRDefault="00CC49C7" w:rsidP="00CC49C7">
      <w:pPr>
        <w:rPr>
          <w:rFonts w:ascii="Times New Roman" w:hAnsi="Times New Roman" w:cs="Times New Roman"/>
          <w:i/>
          <w:iCs/>
          <w:sz w:val="20"/>
          <w:szCs w:val="20"/>
          <w:highlight w:val="green"/>
        </w:rPr>
      </w:pPr>
      <w:r w:rsidRPr="00081B32">
        <w:rPr>
          <w:rFonts w:ascii="Times New Roman" w:hAnsi="Times New Roman" w:cs="Times New Roman"/>
          <w:i/>
          <w:iCs/>
          <w:sz w:val="20"/>
          <w:szCs w:val="20"/>
          <w:highlight w:val="green"/>
        </w:rPr>
        <w:t xml:space="preserve">Agreement: </w:t>
      </w:r>
    </w:p>
    <w:p w14:paraId="04F6FA0D" w14:textId="77777777" w:rsidR="00CC49C7" w:rsidRPr="00081B32" w:rsidRDefault="00CC49C7" w:rsidP="00CC49C7">
      <w:pPr>
        <w:rPr>
          <w:rFonts w:ascii="Times New Roman" w:hAnsi="Times New Roman" w:cs="Times New Roman"/>
          <w:i/>
          <w:iCs/>
          <w:sz w:val="20"/>
          <w:szCs w:val="20"/>
        </w:rPr>
      </w:pPr>
      <w:r w:rsidRPr="00081B32">
        <w:rPr>
          <w:rFonts w:ascii="Times New Roman" w:hAnsi="Times New Roman" w:cs="Times New Roman"/>
          <w:i/>
          <w:iCs/>
          <w:sz w:val="20"/>
          <w:szCs w:val="20"/>
        </w:rPr>
        <w:t>In semi-static channel access mode, for a transmission burst that includes multiple transmissions, the associated COT-ownership for all transmissions in the transmission burst should be the same.</w:t>
      </w:r>
    </w:p>
    <w:p w14:paraId="1488C516" w14:textId="540456F9" w:rsidR="00CC49C7" w:rsidRDefault="00CC49C7" w:rsidP="001052C1">
      <w:pPr>
        <w:jc w:val="both"/>
        <w:rPr>
          <w:rFonts w:ascii="Times New Roman" w:hAnsi="Times New Roman" w:cs="Times New Roman"/>
        </w:rPr>
      </w:pPr>
    </w:p>
    <w:p w14:paraId="45897C01" w14:textId="3782C451" w:rsidR="00CC49C7" w:rsidRDefault="00CC49C7" w:rsidP="001052C1">
      <w:pPr>
        <w:jc w:val="both"/>
        <w:rPr>
          <w:rFonts w:ascii="Times New Roman" w:hAnsi="Times New Roman" w:cs="Times New Roman"/>
        </w:rPr>
      </w:pPr>
      <w:r>
        <w:rPr>
          <w:rFonts w:ascii="Times New Roman" w:hAnsi="Times New Roman" w:cs="Times New Roman"/>
        </w:rPr>
        <w:t>For cases where a UE has multiple CG</w:t>
      </w:r>
      <w:r w:rsidR="005657AA">
        <w:rPr>
          <w:rFonts w:ascii="Times New Roman" w:hAnsi="Times New Roman" w:cs="Times New Roman"/>
        </w:rPr>
        <w:t xml:space="preserve"> resources forming a potential </w:t>
      </w:r>
      <w:r w:rsidR="00F547C9">
        <w:rPr>
          <w:rFonts w:ascii="Times New Roman" w:hAnsi="Times New Roman" w:cs="Times New Roman"/>
        </w:rPr>
        <w:t xml:space="preserve">transmission </w:t>
      </w:r>
      <w:r w:rsidR="005657AA">
        <w:rPr>
          <w:rFonts w:ascii="Times New Roman" w:hAnsi="Times New Roman" w:cs="Times New Roman"/>
        </w:rPr>
        <w:t>burst and for which at least one of the CG resources extends beyond a gNB FFP</w:t>
      </w:r>
      <w:r w:rsidR="0018061D">
        <w:rPr>
          <w:rFonts w:ascii="Times New Roman" w:hAnsi="Times New Roman" w:cs="Times New Roman"/>
        </w:rPr>
        <w:t xml:space="preserve">, it is unclear what COT initiator a UE should assume for the burst. Strictly following the RAN1 #105-e agreement means that if there is an ongoing gNB-initiated COT prior to the first CG resource, the UE </w:t>
      </w:r>
      <w:r w:rsidR="00B92899">
        <w:rPr>
          <w:rFonts w:ascii="Times New Roman" w:hAnsi="Times New Roman" w:cs="Times New Roman"/>
        </w:rPr>
        <w:t>must</w:t>
      </w:r>
      <w:r w:rsidR="0018061D">
        <w:rPr>
          <w:rFonts w:ascii="Times New Roman" w:hAnsi="Times New Roman" w:cs="Times New Roman"/>
        </w:rPr>
        <w:t xml:space="preserve"> use that COT. However, in this case, that would mean that the UE </w:t>
      </w:r>
      <w:r w:rsidR="00B92899">
        <w:rPr>
          <w:rFonts w:ascii="Times New Roman" w:hAnsi="Times New Roman" w:cs="Times New Roman"/>
        </w:rPr>
        <w:t>must drop any transmissions that occur in CG resources</w:t>
      </w:r>
      <w:r w:rsidR="00216F2A">
        <w:rPr>
          <w:rFonts w:ascii="Times New Roman" w:hAnsi="Times New Roman" w:cs="Times New Roman"/>
        </w:rPr>
        <w:t xml:space="preserve"> in the same burst but extending beyond the gNB FFP</w:t>
      </w:r>
      <w:r w:rsidR="0018061D">
        <w:rPr>
          <w:rFonts w:ascii="Times New Roman" w:hAnsi="Times New Roman" w:cs="Times New Roman"/>
        </w:rPr>
        <w:t xml:space="preserve">. It would be more efficient for the UE to initiate a COT prior to the first CG resource in the burst, such that it </w:t>
      </w:r>
      <w:r w:rsidR="00C53B4B">
        <w:rPr>
          <w:rFonts w:ascii="Times New Roman" w:hAnsi="Times New Roman" w:cs="Times New Roman"/>
        </w:rPr>
        <w:t>could</w:t>
      </w:r>
      <w:r w:rsidR="0018061D">
        <w:rPr>
          <w:rFonts w:ascii="Times New Roman" w:hAnsi="Times New Roman" w:cs="Times New Roman"/>
        </w:rPr>
        <w:t xml:space="preserve"> transmit on all CG resources of the burst when required. </w:t>
      </w:r>
      <w:r w:rsidR="00D879A7">
        <w:rPr>
          <w:rFonts w:ascii="Times New Roman" w:hAnsi="Times New Roman" w:cs="Times New Roman"/>
        </w:rPr>
        <w:t>This case leads to further ambiguity at the gNB in terms of the initiator of a COT for a configured UE transmission.</w:t>
      </w:r>
    </w:p>
    <w:p w14:paraId="3D5AF978" w14:textId="342B6FEA" w:rsidR="00AE5841" w:rsidRDefault="00446717" w:rsidP="001052C1">
      <w:pPr>
        <w:jc w:val="both"/>
        <w:rPr>
          <w:rFonts w:ascii="Times New Roman" w:hAnsi="Times New Roman" w:cs="Times New Roman"/>
        </w:rPr>
      </w:pPr>
      <w:r>
        <w:rPr>
          <w:rFonts w:ascii="Times New Roman" w:hAnsi="Times New Roman" w:cs="Times New Roman"/>
        </w:rPr>
        <w:t>In RAN1 #107-e, the following was also agreed:</w:t>
      </w:r>
    </w:p>
    <w:p w14:paraId="06A5996E" w14:textId="77777777" w:rsidR="00446717" w:rsidRPr="00081B32" w:rsidRDefault="00446717" w:rsidP="00446717">
      <w:pPr>
        <w:rPr>
          <w:rFonts w:ascii="Times New Roman" w:hAnsi="Times New Roman" w:cs="Times New Roman"/>
          <w:i/>
          <w:iCs/>
          <w:sz w:val="20"/>
          <w:szCs w:val="20"/>
          <w:highlight w:val="green"/>
        </w:rPr>
      </w:pPr>
      <w:r w:rsidRPr="00081B32">
        <w:rPr>
          <w:rFonts w:ascii="Times New Roman" w:hAnsi="Times New Roman" w:cs="Times New Roman"/>
          <w:i/>
          <w:iCs/>
          <w:sz w:val="20"/>
          <w:szCs w:val="20"/>
          <w:highlight w:val="green"/>
        </w:rPr>
        <w:t xml:space="preserve">Agreement: </w:t>
      </w:r>
    </w:p>
    <w:p w14:paraId="19FBBE72" w14:textId="77777777" w:rsidR="00446717" w:rsidRPr="00081B32" w:rsidRDefault="00446717" w:rsidP="00446717">
      <w:pPr>
        <w:rPr>
          <w:rFonts w:ascii="Times New Roman" w:eastAsia="Malgun Gothic" w:hAnsi="Times New Roman" w:cs="Times New Roman"/>
          <w:i/>
          <w:iCs/>
          <w:sz w:val="20"/>
          <w:szCs w:val="20"/>
          <w:lang w:val="de-DE" w:eastAsia="zh-CN"/>
        </w:rPr>
      </w:pPr>
      <w:r w:rsidRPr="00081B32">
        <w:rPr>
          <w:rFonts w:ascii="Times New Roman" w:hAnsi="Times New Roman" w:cs="Times New Roman"/>
          <w:i/>
          <w:iCs/>
          <w:sz w:val="20"/>
          <w:szCs w:val="20"/>
          <w:lang w:val="de-DE" w:eastAsia="zh-CN"/>
        </w:rPr>
        <w:t>In semi-static channel access mode, when the gNB schedules by a DCI a UL transmission and the scheduling DCI and the scheduled UL transmission are in a same g-FFP but on a different RB sets of the g-FFP bandwidth:</w:t>
      </w:r>
    </w:p>
    <w:p w14:paraId="69C5D8B4" w14:textId="77777777" w:rsidR="00446717" w:rsidRPr="00081B32" w:rsidRDefault="00446717" w:rsidP="00446717">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rPr>
      </w:pPr>
      <w:r w:rsidRPr="00081B32">
        <w:rPr>
          <w:rFonts w:ascii="Times New Roman" w:hAnsi="Times New Roman" w:cs="Times New Roman"/>
          <w:i/>
          <w:iCs/>
          <w:sz w:val="20"/>
          <w:szCs w:val="20"/>
          <w:lang w:eastAsia="zh-CN"/>
        </w:rPr>
        <w:t xml:space="preserve">If DCI indicates gNB initiated COT, </w:t>
      </w:r>
      <w:r w:rsidRPr="00081B32">
        <w:rPr>
          <w:rFonts w:ascii="Times New Roman" w:hAnsi="Times New Roman" w:cs="Times New Roman"/>
          <w:i/>
          <w:iCs/>
          <w:sz w:val="20"/>
          <w:szCs w:val="20"/>
        </w:rPr>
        <w:t>validation of the gNB-initiated COT (based on the detection of DL transmission from the gNB) for the RB sets with scheduled UL can be skipped.</w:t>
      </w:r>
    </w:p>
    <w:p w14:paraId="017130AA" w14:textId="02D66DC1" w:rsidR="00446717" w:rsidRDefault="00446717" w:rsidP="001052C1">
      <w:pPr>
        <w:jc w:val="both"/>
        <w:rPr>
          <w:rFonts w:ascii="Times New Roman" w:hAnsi="Times New Roman" w:cs="Times New Roman"/>
        </w:rPr>
      </w:pPr>
    </w:p>
    <w:p w14:paraId="773D428D" w14:textId="44E31D6B" w:rsidR="00446717" w:rsidRDefault="00A364ED" w:rsidP="001052C1">
      <w:pPr>
        <w:jc w:val="both"/>
        <w:rPr>
          <w:rFonts w:ascii="Times New Roman" w:hAnsi="Times New Roman" w:cs="Times New Roman"/>
        </w:rPr>
      </w:pPr>
      <w:r>
        <w:rPr>
          <w:rFonts w:ascii="Times New Roman" w:hAnsi="Times New Roman" w:cs="Times New Roman"/>
        </w:rPr>
        <w:t xml:space="preserve">This agreement </w:t>
      </w:r>
      <w:r w:rsidR="0034795E">
        <w:rPr>
          <w:rFonts w:ascii="Times New Roman" w:hAnsi="Times New Roman" w:cs="Times New Roman"/>
        </w:rPr>
        <w:t xml:space="preserve">means </w:t>
      </w:r>
      <w:r>
        <w:rPr>
          <w:rFonts w:ascii="Times New Roman" w:hAnsi="Times New Roman" w:cs="Times New Roman"/>
        </w:rPr>
        <w:t>that a gNB could initiate a COT on two RB sets</w:t>
      </w:r>
      <w:r w:rsidR="0034795E">
        <w:rPr>
          <w:rFonts w:ascii="Times New Roman" w:hAnsi="Times New Roman" w:cs="Times New Roman"/>
        </w:rPr>
        <w:t xml:space="preserve"> and schedule a first UE for a transmission on both RB sets with a DCI transmitted in a first RB set only</w:t>
      </w:r>
      <w:r w:rsidR="007E4150">
        <w:rPr>
          <w:rFonts w:ascii="Times New Roman" w:hAnsi="Times New Roman" w:cs="Times New Roman"/>
        </w:rPr>
        <w:t>. A second UE</w:t>
      </w:r>
      <w:r w:rsidR="00165625">
        <w:rPr>
          <w:rFonts w:ascii="Times New Roman" w:hAnsi="Times New Roman" w:cs="Times New Roman"/>
        </w:rPr>
        <w:t xml:space="preserve"> with a CG resource in the second RB set may </w:t>
      </w:r>
      <w:r w:rsidR="00625885">
        <w:rPr>
          <w:rFonts w:ascii="Times New Roman" w:hAnsi="Times New Roman" w:cs="Times New Roman"/>
        </w:rPr>
        <w:t>not be aware that there is an ongoing gNB-initiated COT that is valid in the second RB set. In such a case, there may again be ambiguity in terms of the COT initiator</w:t>
      </w:r>
      <w:r w:rsidR="00B63B2E">
        <w:rPr>
          <w:rFonts w:ascii="Times New Roman" w:hAnsi="Times New Roman" w:cs="Times New Roman"/>
        </w:rPr>
        <w:t xml:space="preserve"> for a configured UE transmission.</w:t>
      </w:r>
    </w:p>
    <w:p w14:paraId="57EC638B" w14:textId="30EA84C0" w:rsidR="00236378" w:rsidRDefault="00236378" w:rsidP="001052C1">
      <w:pPr>
        <w:jc w:val="both"/>
        <w:rPr>
          <w:rFonts w:ascii="Times New Roman" w:hAnsi="Times New Roman" w:cs="Times New Roman"/>
        </w:rPr>
      </w:pPr>
      <w:r>
        <w:rPr>
          <w:rFonts w:ascii="Times New Roman" w:hAnsi="Times New Roman" w:cs="Times New Roman"/>
        </w:rPr>
        <w:t>Lastly, there was a discussion during RAN1 #107-</w:t>
      </w:r>
      <w:r w:rsidR="00BC40D6">
        <w:rPr>
          <w:rFonts w:ascii="Times New Roman" w:hAnsi="Times New Roman" w:cs="Times New Roman"/>
        </w:rPr>
        <w:t>e</w:t>
      </w:r>
      <w:r>
        <w:rPr>
          <w:rFonts w:ascii="Times New Roman" w:hAnsi="Times New Roman" w:cs="Times New Roman"/>
        </w:rPr>
        <w:t xml:space="preserve"> </w:t>
      </w:r>
      <w:r w:rsidR="001C4E57">
        <w:rPr>
          <w:rFonts w:ascii="Times New Roman" w:hAnsi="Times New Roman" w:cs="Times New Roman"/>
        </w:rPr>
        <w:t>on</w:t>
      </w:r>
      <w:r>
        <w:rPr>
          <w:rFonts w:ascii="Times New Roman" w:hAnsi="Times New Roman" w:cs="Times New Roman"/>
        </w:rPr>
        <w:t xml:space="preserve"> the COT initiator assumption for CGs spanning multiple RB sets. Given that no</w:t>
      </w:r>
      <w:r w:rsidR="002E4F83">
        <w:rPr>
          <w:rFonts w:ascii="Times New Roman" w:hAnsi="Times New Roman" w:cs="Times New Roman"/>
        </w:rPr>
        <w:t xml:space="preserve"> agreement could be reached, the following conclusion was made:</w:t>
      </w:r>
    </w:p>
    <w:p w14:paraId="43621AB7" w14:textId="77777777" w:rsidR="002E4F83" w:rsidRPr="00081B32" w:rsidRDefault="002E4F83" w:rsidP="002E4F83">
      <w:pPr>
        <w:pStyle w:val="ListParagraph"/>
        <w:ind w:left="0"/>
        <w:rPr>
          <w:rFonts w:ascii="Times New Roman" w:hAnsi="Times New Roman" w:cs="Times New Roman"/>
          <w:b/>
          <w:bCs/>
          <w:i/>
          <w:iCs/>
          <w:sz w:val="20"/>
          <w:szCs w:val="20"/>
        </w:rPr>
      </w:pPr>
      <w:r w:rsidRPr="00081B32">
        <w:rPr>
          <w:rFonts w:ascii="Times New Roman" w:hAnsi="Times New Roman" w:cs="Times New Roman"/>
          <w:b/>
          <w:bCs/>
          <w:i/>
          <w:iCs/>
          <w:sz w:val="20"/>
          <w:szCs w:val="20"/>
          <w:highlight w:val="yellow"/>
        </w:rPr>
        <w:t>Proposed conclusion (if Proposal 4-1 is not agreed):</w:t>
      </w:r>
    </w:p>
    <w:p w14:paraId="25A7BB05" w14:textId="77777777" w:rsidR="002E4F83" w:rsidRPr="00081B32" w:rsidRDefault="002E4F83" w:rsidP="002E4F83">
      <w:pPr>
        <w:pStyle w:val="ListParagraph"/>
        <w:ind w:left="0"/>
        <w:rPr>
          <w:rFonts w:ascii="Times New Roman" w:hAnsi="Times New Roman" w:cs="Times New Roman"/>
          <w:b/>
          <w:bCs/>
          <w:i/>
          <w:iCs/>
          <w:sz w:val="20"/>
          <w:szCs w:val="20"/>
        </w:rPr>
      </w:pPr>
      <w:r w:rsidRPr="00081B32">
        <w:rPr>
          <w:rFonts w:ascii="Times New Roman" w:hAnsi="Times New Roman" w:cs="Times New Roman"/>
          <w:i/>
          <w:iCs/>
          <w:sz w:val="20"/>
          <w:szCs w:val="20"/>
        </w:rPr>
        <w:t xml:space="preserve">If UE-initiated COT in semi-static channel access mode is enabled for a UE, when operating on multiple LBT BWs on a carrier, the assumptions regarding the COT initiator for a configured UL transmission </w:t>
      </w:r>
      <w:r w:rsidRPr="00081B32">
        <w:rPr>
          <w:rFonts w:ascii="Times New Roman" w:hAnsi="Times New Roman" w:cs="Times New Roman"/>
          <w:i/>
          <w:iCs/>
          <w:color w:val="FF0000"/>
          <w:sz w:val="20"/>
          <w:szCs w:val="20"/>
        </w:rPr>
        <w:t xml:space="preserve">may not </w:t>
      </w:r>
      <w:r w:rsidRPr="00081B32">
        <w:rPr>
          <w:rFonts w:ascii="Times New Roman" w:hAnsi="Times New Roman" w:cs="Times New Roman"/>
          <w:i/>
          <w:iCs/>
          <w:sz w:val="20"/>
          <w:szCs w:val="20"/>
        </w:rPr>
        <w:t>be aligned across all LBT BWs for the configured UL transmission</w:t>
      </w:r>
    </w:p>
    <w:p w14:paraId="3A722F7C" w14:textId="1AD034D8" w:rsidR="002E4F83" w:rsidRDefault="002E4F83" w:rsidP="001052C1">
      <w:pPr>
        <w:jc w:val="both"/>
        <w:rPr>
          <w:rFonts w:ascii="Times New Roman" w:hAnsi="Times New Roman" w:cs="Times New Roman"/>
        </w:rPr>
      </w:pPr>
    </w:p>
    <w:p w14:paraId="4087F8F1" w14:textId="12D5140B" w:rsidR="002E4F83" w:rsidRDefault="00806977" w:rsidP="001052C1">
      <w:pPr>
        <w:jc w:val="both"/>
        <w:rPr>
          <w:rFonts w:ascii="Times New Roman" w:hAnsi="Times New Roman" w:cs="Times New Roman"/>
        </w:rPr>
      </w:pPr>
      <w:r>
        <w:rPr>
          <w:rFonts w:ascii="Times New Roman" w:hAnsi="Times New Roman" w:cs="Times New Roman"/>
        </w:rPr>
        <w:t>This conclusion further exacerbates the ambiguity of COT initi</w:t>
      </w:r>
      <w:r w:rsidR="0035537D">
        <w:rPr>
          <w:rFonts w:ascii="Times New Roman" w:hAnsi="Times New Roman" w:cs="Times New Roman"/>
        </w:rPr>
        <w:t>ator for a</w:t>
      </w:r>
      <w:r w:rsidR="006B683C">
        <w:rPr>
          <w:rFonts w:ascii="Times New Roman" w:hAnsi="Times New Roman" w:cs="Times New Roman"/>
        </w:rPr>
        <w:t>ll or parts of a</w:t>
      </w:r>
      <w:r w:rsidR="0035537D">
        <w:rPr>
          <w:rFonts w:ascii="Times New Roman" w:hAnsi="Times New Roman" w:cs="Times New Roman"/>
        </w:rPr>
        <w:t xml:space="preserve"> configured transmission </w:t>
      </w:r>
      <w:r w:rsidR="00660FA9">
        <w:rPr>
          <w:rFonts w:ascii="Times New Roman" w:hAnsi="Times New Roman" w:cs="Times New Roman"/>
        </w:rPr>
        <w:t>spanning multiple LBT bandwidths</w:t>
      </w:r>
      <w:r w:rsidR="0035537D">
        <w:rPr>
          <w:rFonts w:ascii="Times New Roman" w:hAnsi="Times New Roman" w:cs="Times New Roman"/>
        </w:rPr>
        <w:t>.</w:t>
      </w:r>
    </w:p>
    <w:p w14:paraId="1A87487A" w14:textId="17645836" w:rsidR="00B3183C" w:rsidRPr="007628D6" w:rsidRDefault="00B3183C" w:rsidP="001052C1">
      <w:pPr>
        <w:jc w:val="both"/>
        <w:rPr>
          <w:rFonts w:ascii="Times New Roman" w:hAnsi="Times New Roman" w:cs="Times New Roman"/>
          <w:lang w:val="en-GB"/>
        </w:rPr>
      </w:pPr>
      <w:r>
        <w:rPr>
          <w:rFonts w:ascii="Times New Roman" w:hAnsi="Times New Roman" w:cs="Times New Roman"/>
        </w:rPr>
        <w:t xml:space="preserve">Therefore, means are required to enable a UE to indicate </w:t>
      </w:r>
      <w:r w:rsidR="007D5C48">
        <w:rPr>
          <w:rFonts w:ascii="Times New Roman" w:hAnsi="Times New Roman" w:cs="Times New Roman"/>
        </w:rPr>
        <w:t xml:space="preserve">whether </w:t>
      </w:r>
      <w:r>
        <w:rPr>
          <w:rFonts w:ascii="Times New Roman" w:hAnsi="Times New Roman" w:cs="Times New Roman"/>
        </w:rPr>
        <w:t>it has initiated a COT for an FFP</w:t>
      </w:r>
      <w:r w:rsidR="00D87BD7">
        <w:rPr>
          <w:rFonts w:ascii="Times New Roman" w:hAnsi="Times New Roman" w:cs="Times New Roman"/>
        </w:rPr>
        <w:t xml:space="preserve"> or it is sharing a gNB-initiated COT</w:t>
      </w:r>
      <w:r>
        <w:rPr>
          <w:rFonts w:ascii="Times New Roman" w:hAnsi="Times New Roman" w:cs="Times New Roman"/>
        </w:rPr>
        <w:t xml:space="preserve">. </w:t>
      </w:r>
      <w:r w:rsidR="00216E96">
        <w:rPr>
          <w:rFonts w:ascii="Times New Roman" w:hAnsi="Times New Roman" w:cs="Times New Roman"/>
        </w:rPr>
        <w:t>This removes ambiguity between a UE and gNB as to who initiated the COT. Furthermore, t</w:t>
      </w:r>
      <w:r>
        <w:rPr>
          <w:rFonts w:ascii="Times New Roman" w:hAnsi="Times New Roman" w:cs="Times New Roman"/>
        </w:rPr>
        <w:t xml:space="preserve">his can ensure </w:t>
      </w:r>
      <w:r w:rsidR="00B139FE">
        <w:rPr>
          <w:rFonts w:ascii="Times New Roman" w:hAnsi="Times New Roman" w:cs="Times New Roman"/>
        </w:rPr>
        <w:t>appropriate use of the COT</w:t>
      </w:r>
      <w:r w:rsidR="00630D14">
        <w:rPr>
          <w:rFonts w:ascii="Times New Roman" w:hAnsi="Times New Roman" w:cs="Times New Roman"/>
        </w:rPr>
        <w:t xml:space="preserve">, for example </w:t>
      </w:r>
      <w:r w:rsidR="0061510D">
        <w:rPr>
          <w:rFonts w:ascii="Times New Roman" w:hAnsi="Times New Roman" w:cs="Times New Roman"/>
        </w:rPr>
        <w:t>what idle period to follow</w:t>
      </w:r>
      <w:r w:rsidR="005A366D">
        <w:rPr>
          <w:rFonts w:ascii="Times New Roman" w:hAnsi="Times New Roman" w:cs="Times New Roman"/>
        </w:rPr>
        <w:t xml:space="preserve">. </w:t>
      </w:r>
    </w:p>
    <w:p w14:paraId="403464E3" w14:textId="51FB7B6F" w:rsidR="00B27CBB" w:rsidRDefault="006C05EE" w:rsidP="001052C1">
      <w:pPr>
        <w:jc w:val="both"/>
        <w:rPr>
          <w:rFonts w:ascii="Times New Roman" w:hAnsi="Times New Roman" w:cs="Times New Roman"/>
        </w:rPr>
      </w:pPr>
      <w:r>
        <w:rPr>
          <w:rFonts w:ascii="Times New Roman" w:hAnsi="Times New Roman" w:cs="Times New Roman"/>
        </w:rPr>
        <w:t>T</w:t>
      </w:r>
      <w:r w:rsidR="00433A6C">
        <w:rPr>
          <w:rFonts w:ascii="Times New Roman" w:hAnsi="Times New Roman" w:cs="Times New Roman"/>
        </w:rPr>
        <w:t xml:space="preserve">he indication </w:t>
      </w:r>
      <w:r>
        <w:rPr>
          <w:rFonts w:ascii="Times New Roman" w:hAnsi="Times New Roman" w:cs="Times New Roman"/>
        </w:rPr>
        <w:t xml:space="preserve">should </w:t>
      </w:r>
      <w:r w:rsidR="00433A6C">
        <w:rPr>
          <w:rFonts w:ascii="Times New Roman" w:hAnsi="Times New Roman" w:cs="Times New Roman"/>
        </w:rPr>
        <w:t>be transmitted by the UE</w:t>
      </w:r>
      <w:r w:rsidR="004C34AA">
        <w:rPr>
          <w:rFonts w:ascii="Times New Roman" w:hAnsi="Times New Roman" w:cs="Times New Roman"/>
        </w:rPr>
        <w:t xml:space="preserve">, </w:t>
      </w:r>
      <w:r w:rsidR="00007063">
        <w:rPr>
          <w:rFonts w:ascii="Times New Roman" w:hAnsi="Times New Roman" w:cs="Times New Roman"/>
        </w:rPr>
        <w:t xml:space="preserve">in a manner </w:t>
      </w:r>
      <w:r w:rsidR="0080470D">
        <w:rPr>
          <w:rFonts w:ascii="Times New Roman" w:hAnsi="Times New Roman" w:cs="Times New Roman"/>
        </w:rPr>
        <w:t>possibly similar to</w:t>
      </w:r>
      <w:r w:rsidR="00063217">
        <w:rPr>
          <w:rFonts w:ascii="Times New Roman" w:hAnsi="Times New Roman" w:cs="Times New Roman"/>
        </w:rPr>
        <w:t>, or included in,</w:t>
      </w:r>
      <w:r w:rsidR="0080470D">
        <w:rPr>
          <w:rFonts w:ascii="Times New Roman" w:hAnsi="Times New Roman" w:cs="Times New Roman"/>
        </w:rPr>
        <w:t xml:space="preserve">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w:t>
      </w:r>
      <w:r w:rsidR="0013641D">
        <w:rPr>
          <w:rFonts w:ascii="Times New Roman" w:hAnsi="Times New Roman" w:cs="Times New Roman"/>
        </w:rPr>
        <w:t xml:space="preserve"> transmission burst</w:t>
      </w:r>
      <w:r w:rsidR="00826E96">
        <w:rPr>
          <w:rFonts w:ascii="Times New Roman" w:hAnsi="Times New Roman" w:cs="Times New Roman"/>
        </w:rPr>
        <w:t>, or in a specific resource dedicated for the transmission of the indication.</w:t>
      </w:r>
    </w:p>
    <w:p w14:paraId="6559F187" w14:textId="3C74F22C" w:rsidR="004F3EC1" w:rsidRDefault="001F08ED" w:rsidP="001052C1">
      <w:pPr>
        <w:jc w:val="both"/>
        <w:rPr>
          <w:rFonts w:ascii="Times New Roman" w:hAnsi="Times New Roman" w:cs="Times New Roman"/>
        </w:rPr>
      </w:pPr>
      <w:r>
        <w:rPr>
          <w:rFonts w:ascii="Times New Roman" w:hAnsi="Times New Roman" w:cs="Times New Roman"/>
        </w:rPr>
        <w:t xml:space="preserve">For the case where a UE initiates a COT in resources overlapping those of an ongoing gNB-initiated COT, the new UE-initiated COT’s idle period configuration should be observed. </w:t>
      </w:r>
    </w:p>
    <w:p w14:paraId="3FCA8E17" w14:textId="2FEEEF2D" w:rsidR="001620A9" w:rsidRDefault="00A204F1" w:rsidP="004C34AA">
      <w:pPr>
        <w:jc w:val="both"/>
        <w:rPr>
          <w:rFonts w:ascii="Times New Roman" w:hAnsi="Times New Roman" w:cs="Times New Roman"/>
          <w:i/>
          <w:iCs/>
        </w:rPr>
      </w:pPr>
      <w:r w:rsidRPr="00260F74">
        <w:rPr>
          <w:rFonts w:ascii="Times New Roman" w:hAnsi="Times New Roman" w:cs="Times New Roman"/>
          <w:b/>
          <w:bCs/>
          <w:i/>
          <w:iCs/>
        </w:rPr>
        <w:t xml:space="preserve">Proposal </w:t>
      </w:r>
      <w:r w:rsidR="00493C9D">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sidR="0012284C">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6D97B04D" w14:textId="39AFF7BC" w:rsidR="001620A9" w:rsidRDefault="001620A9" w:rsidP="004C34AA">
      <w:pPr>
        <w:jc w:val="both"/>
        <w:rPr>
          <w:rFonts w:ascii="Times New Roman" w:hAnsi="Times New Roman" w:cs="Times New Roman"/>
        </w:rPr>
      </w:pPr>
      <w:r>
        <w:rPr>
          <w:rFonts w:ascii="Times New Roman" w:hAnsi="Times New Roman" w:cs="Times New Roman"/>
        </w:rPr>
        <w:t xml:space="preserve">For scheduled UL transmissions, </w:t>
      </w:r>
      <w:r w:rsidR="00BD4AB0">
        <w:rPr>
          <w:rFonts w:ascii="Times New Roman" w:hAnsi="Times New Roman" w:cs="Times New Roman"/>
        </w:rPr>
        <w:t xml:space="preserve">it was agreed at RAN1 #106-e </w:t>
      </w:r>
      <w:r w:rsidR="00563448">
        <w:rPr>
          <w:rFonts w:ascii="Times New Roman" w:hAnsi="Times New Roman" w:cs="Times New Roman"/>
        </w:rPr>
        <w:t>that a scheduling DCI</w:t>
      </w:r>
      <w:r w:rsidR="00BD08E4">
        <w:rPr>
          <w:rFonts w:ascii="Times New Roman" w:hAnsi="Times New Roman" w:cs="Times New Roman"/>
        </w:rPr>
        <w:t xml:space="preserve"> indicates the assumption on the COT-initiator.</w:t>
      </w:r>
      <w:r w:rsidR="00206794">
        <w:rPr>
          <w:rFonts w:ascii="Times New Roman" w:hAnsi="Times New Roman" w:cs="Times New Roman"/>
        </w:rPr>
        <w:t xml:space="preserve"> </w:t>
      </w:r>
      <w:r w:rsidR="00B97FBF">
        <w:rPr>
          <w:rFonts w:ascii="Times New Roman" w:hAnsi="Times New Roman" w:cs="Times New Roman"/>
        </w:rPr>
        <w:t>The following agreement was also reached at RAN1 #106-e:</w:t>
      </w:r>
    </w:p>
    <w:p w14:paraId="40DE863F" w14:textId="77777777" w:rsidR="00DC23EC" w:rsidRPr="0077228F" w:rsidRDefault="00DC23EC" w:rsidP="00DC23EC">
      <w:pPr>
        <w:rPr>
          <w:rFonts w:ascii="Times New Roman" w:hAnsi="Times New Roman" w:cs="Times New Roman"/>
          <w:i/>
          <w:iCs/>
          <w:color w:val="000000"/>
          <w:sz w:val="20"/>
          <w:szCs w:val="18"/>
          <w:highlight w:val="green"/>
          <w:shd w:val="clear" w:color="auto" w:fill="FFFF00"/>
        </w:rPr>
      </w:pPr>
      <w:r w:rsidRPr="0077228F">
        <w:rPr>
          <w:rFonts w:ascii="Times New Roman" w:hAnsi="Times New Roman" w:cs="Times New Roman"/>
          <w:i/>
          <w:iCs/>
          <w:color w:val="000000"/>
          <w:sz w:val="20"/>
          <w:szCs w:val="18"/>
          <w:highlight w:val="green"/>
        </w:rPr>
        <w:t>Agreement</w:t>
      </w:r>
    </w:p>
    <w:p w14:paraId="33D0E77E" w14:textId="77777777" w:rsidR="00DC23EC" w:rsidRPr="0077228F" w:rsidRDefault="00DC23EC" w:rsidP="00DC23EC">
      <w:pPr>
        <w:rPr>
          <w:rFonts w:ascii="Times New Roman" w:hAnsi="Times New Roman" w:cs="Times New Roman"/>
          <w:i/>
          <w:iCs/>
          <w:sz w:val="20"/>
          <w:szCs w:val="18"/>
          <w:lang w:val="de-DE" w:eastAsia="x-none"/>
        </w:rPr>
      </w:pPr>
      <w:r w:rsidRPr="0077228F">
        <w:rPr>
          <w:rFonts w:ascii="Times New Roman" w:hAnsi="Times New Roman" w:cs="Times New Roman"/>
          <w:i/>
          <w:iCs/>
          <w:sz w:val="20"/>
          <w:szCs w:val="18"/>
          <w:lang w:val="de-DE" w:eastAsia="x-none"/>
        </w:rPr>
        <w:t>In semi-static channel access mode, when the gNB schedules by a DCI a UL transmission in a later g-FFP that is different from the g-FFP that carries the scheduling DCI:</w:t>
      </w:r>
    </w:p>
    <w:p w14:paraId="704DA6FC" w14:textId="77777777" w:rsidR="00DC23EC" w:rsidRPr="0077228F" w:rsidRDefault="00DC23EC" w:rsidP="00DC23EC">
      <w:pPr>
        <w:pStyle w:val="ListParagraph"/>
        <w:numPr>
          <w:ilvl w:val="0"/>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val="de-DE"/>
        </w:rPr>
      </w:pPr>
      <w:r w:rsidRPr="0077228F">
        <w:rPr>
          <w:rFonts w:ascii="Times New Roman" w:hAnsi="Times New Roman" w:cs="Times New Roman"/>
          <w:i/>
          <w:iCs/>
          <w:sz w:val="20"/>
          <w:szCs w:val="20"/>
          <w:lang w:val="de-DE"/>
        </w:rPr>
        <w:t>The UE follows the indicated COT initiator as the following:</w:t>
      </w:r>
    </w:p>
    <w:p w14:paraId="6E0C060F" w14:textId="77777777" w:rsidR="00DC23EC" w:rsidRPr="0077228F" w:rsidRDefault="00DC23EC" w:rsidP="00DC23EC">
      <w:pPr>
        <w:pStyle w:val="ListParagraph"/>
        <w:numPr>
          <w:ilvl w:val="1"/>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eastAsia="x-none"/>
        </w:rPr>
      </w:pPr>
      <w:r w:rsidRPr="0077228F">
        <w:rPr>
          <w:rFonts w:ascii="Times New Roman" w:hAnsi="Times New Roman" w:cs="Times New Roman"/>
          <w:i/>
          <w:iCs/>
          <w:sz w:val="20"/>
          <w:szCs w:val="20"/>
          <w:lang w:eastAsia="x-none"/>
        </w:rPr>
        <w:t>If the UE validates the indicated COT initiator assumption and satisfies the applicable sensing conditions, the transmission occurs. Otherwise, the transmission is dropped.</w:t>
      </w:r>
    </w:p>
    <w:p w14:paraId="549F0EC9" w14:textId="28F6645C" w:rsidR="00B97FBF" w:rsidRDefault="00B97FBF" w:rsidP="004C34AA">
      <w:pPr>
        <w:jc w:val="both"/>
        <w:rPr>
          <w:rFonts w:ascii="Times New Roman" w:hAnsi="Times New Roman" w:cs="Times New Roman"/>
        </w:rPr>
      </w:pPr>
    </w:p>
    <w:p w14:paraId="0F74D7DF" w14:textId="739D6E73" w:rsidR="00DC23EC" w:rsidRDefault="00DC23EC" w:rsidP="004C34AA">
      <w:pPr>
        <w:jc w:val="both"/>
        <w:rPr>
          <w:rFonts w:ascii="Times New Roman" w:hAnsi="Times New Roman" w:cs="Times New Roman"/>
        </w:rPr>
      </w:pPr>
      <w:r>
        <w:rPr>
          <w:rFonts w:ascii="Times New Roman" w:hAnsi="Times New Roman" w:cs="Times New Roman"/>
        </w:rPr>
        <w:t>For scheduled DL transmissions</w:t>
      </w:r>
      <w:r w:rsidR="00056B13">
        <w:rPr>
          <w:rFonts w:ascii="Times New Roman" w:hAnsi="Times New Roman" w:cs="Times New Roman"/>
        </w:rPr>
        <w:t xml:space="preserve"> in a later g-FFP</w:t>
      </w:r>
      <w:r>
        <w:rPr>
          <w:rFonts w:ascii="Times New Roman" w:hAnsi="Times New Roman" w:cs="Times New Roman"/>
        </w:rPr>
        <w:t xml:space="preserve">, </w:t>
      </w:r>
      <w:r w:rsidR="00A75FEA">
        <w:rPr>
          <w:rFonts w:ascii="Times New Roman" w:hAnsi="Times New Roman" w:cs="Times New Roman"/>
        </w:rPr>
        <w:t xml:space="preserve">there are cases where </w:t>
      </w:r>
      <w:r w:rsidR="00466978">
        <w:rPr>
          <w:rFonts w:ascii="Times New Roman" w:hAnsi="Times New Roman" w:cs="Times New Roman"/>
        </w:rPr>
        <w:t xml:space="preserve">there may be </w:t>
      </w:r>
      <w:r w:rsidR="00AD243B">
        <w:rPr>
          <w:rFonts w:ascii="Times New Roman" w:hAnsi="Times New Roman" w:cs="Times New Roman"/>
        </w:rPr>
        <w:t>misunderstanding</w:t>
      </w:r>
      <w:r w:rsidR="00A82151">
        <w:rPr>
          <w:rFonts w:ascii="Times New Roman" w:hAnsi="Times New Roman" w:cs="Times New Roman"/>
        </w:rPr>
        <w:t>, between the UE and gNB,</w:t>
      </w:r>
      <w:r w:rsidR="00466978">
        <w:rPr>
          <w:rFonts w:ascii="Times New Roman" w:hAnsi="Times New Roman" w:cs="Times New Roman"/>
        </w:rPr>
        <w:t xml:space="preserve"> </w:t>
      </w:r>
      <w:r w:rsidR="00972AC8">
        <w:rPr>
          <w:rFonts w:ascii="Times New Roman" w:hAnsi="Times New Roman" w:cs="Times New Roman"/>
        </w:rPr>
        <w:t>in</w:t>
      </w:r>
      <w:r w:rsidR="00466978">
        <w:rPr>
          <w:rFonts w:ascii="Times New Roman" w:hAnsi="Times New Roman" w:cs="Times New Roman"/>
        </w:rPr>
        <w:t xml:space="preserve"> </w:t>
      </w:r>
      <w:r w:rsidR="00AD243B">
        <w:rPr>
          <w:rFonts w:ascii="Times New Roman" w:hAnsi="Times New Roman" w:cs="Times New Roman"/>
        </w:rPr>
        <w:t xml:space="preserve">terms of </w:t>
      </w:r>
      <w:r w:rsidR="00466978">
        <w:rPr>
          <w:rFonts w:ascii="Times New Roman" w:hAnsi="Times New Roman" w:cs="Times New Roman"/>
        </w:rPr>
        <w:t>the COT initiator.</w:t>
      </w:r>
      <w:r w:rsidR="00056B13">
        <w:rPr>
          <w:rFonts w:ascii="Times New Roman" w:hAnsi="Times New Roman" w:cs="Times New Roman"/>
        </w:rPr>
        <w:t xml:space="preserve"> For example, prior to a DL transmission, a UE may initiate a COT for a transmission (e.g. on a CG resource). In such a case, the </w:t>
      </w:r>
      <w:r w:rsidR="00463185">
        <w:rPr>
          <w:rFonts w:ascii="Times New Roman" w:hAnsi="Times New Roman" w:cs="Times New Roman"/>
        </w:rPr>
        <w:t>gNB may share the COT and may not need to initiate a new COT for a DL transmission</w:t>
      </w:r>
      <w:r w:rsidR="004C7162">
        <w:rPr>
          <w:rFonts w:ascii="Times New Roman" w:hAnsi="Times New Roman" w:cs="Times New Roman"/>
        </w:rPr>
        <w:t xml:space="preserve">. </w:t>
      </w:r>
      <w:r w:rsidR="001400BC">
        <w:rPr>
          <w:rFonts w:ascii="Times New Roman" w:hAnsi="Times New Roman" w:cs="Times New Roman"/>
        </w:rPr>
        <w:t xml:space="preserve">However, the gNB would not have been aware of this at the time of scheduling the DL transmission. </w:t>
      </w:r>
      <w:r w:rsidR="003B2591">
        <w:rPr>
          <w:rFonts w:ascii="Times New Roman" w:hAnsi="Times New Roman" w:cs="Times New Roman"/>
        </w:rPr>
        <w:t>In another example</w:t>
      </w:r>
      <w:r w:rsidR="00B87619">
        <w:rPr>
          <w:rFonts w:ascii="Times New Roman" w:hAnsi="Times New Roman" w:cs="Times New Roman"/>
        </w:rPr>
        <w:t>,</w:t>
      </w:r>
      <w:r w:rsidR="004C7162">
        <w:rPr>
          <w:rFonts w:ascii="Times New Roman" w:hAnsi="Times New Roman" w:cs="Times New Roman"/>
        </w:rPr>
        <w:t xml:space="preserve"> </w:t>
      </w:r>
      <w:r w:rsidR="003811F3">
        <w:rPr>
          <w:rFonts w:ascii="Times New Roman" w:hAnsi="Times New Roman" w:cs="Times New Roman"/>
        </w:rPr>
        <w:t>a DL transmission</w:t>
      </w:r>
      <w:r w:rsidR="00392991">
        <w:rPr>
          <w:rFonts w:ascii="Times New Roman" w:hAnsi="Times New Roman" w:cs="Times New Roman"/>
        </w:rPr>
        <w:t xml:space="preserve"> to a first UE may share a COT initiated by a second UE. </w:t>
      </w:r>
      <w:r w:rsidR="00E57959">
        <w:rPr>
          <w:rFonts w:ascii="Times New Roman" w:hAnsi="Times New Roman" w:cs="Times New Roman"/>
        </w:rPr>
        <w:t xml:space="preserve">However, in such a case, the first UE may not share the COT for transmissions in the UL. For </w:t>
      </w:r>
      <w:r w:rsidR="005B176B">
        <w:rPr>
          <w:rFonts w:ascii="Times New Roman" w:hAnsi="Times New Roman" w:cs="Times New Roman"/>
        </w:rPr>
        <w:t>these</w:t>
      </w:r>
      <w:r w:rsidR="00E57959">
        <w:rPr>
          <w:rFonts w:ascii="Times New Roman" w:hAnsi="Times New Roman" w:cs="Times New Roman"/>
        </w:rPr>
        <w:t xml:space="preserve"> cases</w:t>
      </w:r>
      <w:r w:rsidR="005B176B">
        <w:rPr>
          <w:rFonts w:ascii="Times New Roman" w:hAnsi="Times New Roman" w:cs="Times New Roman"/>
        </w:rPr>
        <w:t>, it</w:t>
      </w:r>
      <w:r w:rsidR="00392991">
        <w:rPr>
          <w:rFonts w:ascii="Times New Roman" w:hAnsi="Times New Roman" w:cs="Times New Roman"/>
        </w:rPr>
        <w:t xml:space="preserve"> is unclear how the first UE would determine the COT initiator.</w:t>
      </w:r>
    </w:p>
    <w:p w14:paraId="5C5719CF" w14:textId="5F7ACD75" w:rsidR="0024075E" w:rsidRDefault="00841640" w:rsidP="004C34AA">
      <w:pPr>
        <w:jc w:val="both"/>
        <w:rPr>
          <w:rFonts w:ascii="Times New Roman" w:hAnsi="Times New Roman" w:cs="Times New Roman"/>
        </w:rPr>
      </w:pPr>
      <w:r>
        <w:rPr>
          <w:rFonts w:ascii="Times New Roman" w:hAnsi="Times New Roman" w:cs="Times New Roman"/>
        </w:rPr>
        <w:t>To ensure common understanding</w:t>
      </w:r>
      <w:r w:rsidR="007D586C">
        <w:rPr>
          <w:rFonts w:ascii="Times New Roman" w:hAnsi="Times New Roman" w:cs="Times New Roman"/>
        </w:rPr>
        <w:t xml:space="preserve"> of the COT initiator</w:t>
      </w:r>
      <w:r>
        <w:rPr>
          <w:rFonts w:ascii="Times New Roman" w:hAnsi="Times New Roman" w:cs="Times New Roman"/>
        </w:rPr>
        <w:t>, a UE should be indicated the COT initiator</w:t>
      </w:r>
      <w:r w:rsidR="007D586C">
        <w:rPr>
          <w:rFonts w:ascii="Times New Roman" w:hAnsi="Times New Roman" w:cs="Times New Roman"/>
        </w:rPr>
        <w:t xml:space="preserve"> associated to a DL transmission</w:t>
      </w:r>
      <w:r>
        <w:rPr>
          <w:rFonts w:ascii="Times New Roman" w:hAnsi="Times New Roman" w:cs="Times New Roman"/>
        </w:rPr>
        <w:t xml:space="preserve">. </w:t>
      </w:r>
      <w:r w:rsidR="001A240C">
        <w:rPr>
          <w:rFonts w:ascii="Times New Roman" w:hAnsi="Times New Roman" w:cs="Times New Roman"/>
        </w:rPr>
        <w:t xml:space="preserve">Moreover, </w:t>
      </w:r>
      <w:r w:rsidR="00731B98">
        <w:rPr>
          <w:rFonts w:ascii="Times New Roman" w:hAnsi="Times New Roman" w:cs="Times New Roman"/>
        </w:rPr>
        <w:t xml:space="preserve">unlike for UL, </w:t>
      </w:r>
      <w:r w:rsidR="001A240C">
        <w:rPr>
          <w:rFonts w:ascii="Times New Roman" w:hAnsi="Times New Roman" w:cs="Times New Roman"/>
        </w:rPr>
        <w:t xml:space="preserve">there is no reason </w:t>
      </w:r>
      <w:r w:rsidR="00731B98">
        <w:rPr>
          <w:rFonts w:ascii="Times New Roman" w:hAnsi="Times New Roman" w:cs="Times New Roman"/>
        </w:rPr>
        <w:t xml:space="preserve">to assume transmission is dropped </w:t>
      </w:r>
      <w:r w:rsidR="00765228">
        <w:rPr>
          <w:rFonts w:ascii="Times New Roman" w:hAnsi="Times New Roman" w:cs="Times New Roman"/>
        </w:rPr>
        <w:t xml:space="preserve">if the </w:t>
      </w:r>
      <w:r w:rsidR="005011DB">
        <w:rPr>
          <w:rFonts w:ascii="Times New Roman" w:hAnsi="Times New Roman" w:cs="Times New Roman"/>
        </w:rPr>
        <w:t>COT initiator assumption</w:t>
      </w:r>
      <w:r w:rsidR="00B36EF9">
        <w:rPr>
          <w:rFonts w:ascii="Times New Roman" w:hAnsi="Times New Roman" w:cs="Times New Roman"/>
        </w:rPr>
        <w:t xml:space="preserve"> determined by the UE </w:t>
      </w:r>
      <w:r w:rsidR="00F7076E">
        <w:rPr>
          <w:rFonts w:ascii="Times New Roman" w:hAnsi="Times New Roman" w:cs="Times New Roman"/>
        </w:rPr>
        <w:t xml:space="preserve">is </w:t>
      </w:r>
      <w:r w:rsidR="00B36EF9">
        <w:rPr>
          <w:rFonts w:ascii="Times New Roman" w:hAnsi="Times New Roman" w:cs="Times New Roman"/>
        </w:rPr>
        <w:t xml:space="preserve">different from that indicated in the </w:t>
      </w:r>
      <w:r w:rsidR="00D929C9">
        <w:rPr>
          <w:rFonts w:ascii="Times New Roman" w:hAnsi="Times New Roman" w:cs="Times New Roman"/>
        </w:rPr>
        <w:t xml:space="preserve">scheduling </w:t>
      </w:r>
      <w:r w:rsidR="00B36EF9">
        <w:rPr>
          <w:rFonts w:ascii="Times New Roman" w:hAnsi="Times New Roman" w:cs="Times New Roman"/>
        </w:rPr>
        <w:t>DCI.</w:t>
      </w:r>
    </w:p>
    <w:p w14:paraId="6623C338" w14:textId="457F012E" w:rsidR="00CE49A2" w:rsidRPr="00BC0334" w:rsidRDefault="00C841DB" w:rsidP="00FE4E46">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5EDD254A" w14:textId="5AFE7D4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166778D1"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this contribution we discuss UE initiated COTs for FBE</w:t>
      </w:r>
      <w:r w:rsidR="00455BC8">
        <w:rPr>
          <w:rFonts w:ascii="Times New Roman" w:hAnsi="Times New Roman" w:cs="Times New Roman"/>
          <w:bCs/>
          <w:iCs/>
        </w:rPr>
        <w:t xml:space="preserve">. </w:t>
      </w:r>
      <w:r>
        <w:rPr>
          <w:rFonts w:ascii="Times New Roman" w:hAnsi="Times New Roman" w:cs="Times New Roman"/>
          <w:bCs/>
          <w:iCs/>
        </w:rPr>
        <w:t xml:space="preserve">Enhancements are required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4F36421E" w14:textId="77777777" w:rsidR="00D47654" w:rsidRDefault="00D47654" w:rsidP="00D47654">
      <w:pPr>
        <w:jc w:val="both"/>
        <w:rPr>
          <w:rFonts w:ascii="Times New Roman" w:hAnsi="Times New Roman" w:cs="Times New Roman"/>
          <w:i/>
          <w:iCs/>
        </w:rPr>
      </w:pPr>
      <w:r w:rsidRPr="00260F74">
        <w:rPr>
          <w:rFonts w:ascii="Times New Roman" w:hAnsi="Times New Roman" w:cs="Times New Roman"/>
          <w:b/>
          <w:bCs/>
          <w:i/>
          <w:iCs/>
        </w:rPr>
        <w:t xml:space="preserve">Proposal </w:t>
      </w:r>
      <w:r>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12BE57AC" w14:textId="1564578A" w:rsidR="00A2040E" w:rsidRPr="00BC0334" w:rsidRDefault="00D47654" w:rsidP="000E7C09">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lastRenderedPageBreak/>
        <w:t>References</w:t>
      </w:r>
    </w:p>
    <w:p w14:paraId="458C6EED" w14:textId="3D155EB0" w:rsidR="00474ED0" w:rsidRPr="00434668" w:rsidRDefault="00633297" w:rsidP="006C5022">
      <w:pPr>
        <w:pStyle w:val="Reference"/>
        <w:overflowPunct w:val="0"/>
        <w:autoSpaceDE w:val="0"/>
        <w:autoSpaceDN w:val="0"/>
        <w:adjustRightInd w:val="0"/>
        <w:spacing w:after="60"/>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1B9AE153" w:rsidR="000B1450" w:rsidRPr="0023552D" w:rsidRDefault="00831B30" w:rsidP="0023552D">
      <w:pPr>
        <w:pStyle w:val="Reference"/>
        <w:overflowPunct w:val="0"/>
        <w:autoSpaceDE w:val="0"/>
        <w:autoSpaceDN w:val="0"/>
        <w:adjustRightInd w:val="0"/>
        <w:spacing w:after="60"/>
        <w:jc w:val="both"/>
        <w:textAlignment w:val="baseline"/>
        <w:rPr>
          <w:rFonts w:ascii="Times New Roman" w:hAnsi="Times New Roman" w:cs="Times New Roman"/>
        </w:rPr>
      </w:pPr>
      <w:r>
        <w:rPr>
          <w:rFonts w:ascii="Times New Roman" w:hAnsi="Times New Roman"/>
          <w:sz w:val="20"/>
        </w:rPr>
        <w:t>Draft Report of 3GPP TSG RAN WG1 #</w:t>
      </w:r>
      <w:r w:rsidR="004D53E8">
        <w:rPr>
          <w:rFonts w:ascii="Times New Roman" w:hAnsi="Times New Roman"/>
          <w:sz w:val="20"/>
        </w:rPr>
        <w:t>107</w:t>
      </w:r>
      <w:r>
        <w:rPr>
          <w:rFonts w:ascii="Times New Roman" w:hAnsi="Times New Roman"/>
          <w:sz w:val="20"/>
        </w:rPr>
        <w:t>-e v0.</w:t>
      </w:r>
      <w:r w:rsidR="004D53E8">
        <w:rPr>
          <w:rFonts w:ascii="Times New Roman" w:hAnsi="Times New Roman"/>
          <w:sz w:val="20"/>
        </w:rPr>
        <w:t>1</w:t>
      </w:r>
      <w:r>
        <w:rPr>
          <w:rFonts w:ascii="Times New Roman" w:hAnsi="Times New Roman"/>
          <w:sz w:val="20"/>
        </w:rPr>
        <w:t>.0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3005F" w14:textId="77777777" w:rsidR="001E0A66" w:rsidRDefault="001E0A66">
      <w:r>
        <w:separator/>
      </w:r>
    </w:p>
  </w:endnote>
  <w:endnote w:type="continuationSeparator" w:id="0">
    <w:p w14:paraId="1DF8A584" w14:textId="77777777" w:rsidR="001E0A66" w:rsidRDefault="001E0A66">
      <w:r>
        <w:continuationSeparator/>
      </w:r>
    </w:p>
  </w:endnote>
  <w:endnote w:type="continuationNotice" w:id="1">
    <w:p w14:paraId="7EE8961A" w14:textId="77777777" w:rsidR="001E0A66" w:rsidRDefault="001E0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C7630" w14:textId="77777777" w:rsidR="001E0A66" w:rsidRDefault="001E0A66">
      <w:r>
        <w:separator/>
      </w:r>
    </w:p>
  </w:footnote>
  <w:footnote w:type="continuationSeparator" w:id="0">
    <w:p w14:paraId="6F4A07BA" w14:textId="77777777" w:rsidR="001E0A66" w:rsidRDefault="001E0A66">
      <w:r>
        <w:continuationSeparator/>
      </w:r>
    </w:p>
  </w:footnote>
  <w:footnote w:type="continuationNotice" w:id="1">
    <w:p w14:paraId="49069B18" w14:textId="77777777" w:rsidR="001E0A66" w:rsidRDefault="001E0A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C297F"/>
    <w:multiLevelType w:val="hybridMultilevel"/>
    <w:tmpl w:val="57DA98EE"/>
    <w:lvl w:ilvl="0" w:tplc="3392CE4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C631E"/>
    <w:multiLevelType w:val="hybridMultilevel"/>
    <w:tmpl w:val="0D8034FA"/>
    <w:lvl w:ilvl="0" w:tplc="D4DC8E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7D6525"/>
    <w:multiLevelType w:val="hybridMultilevel"/>
    <w:tmpl w:val="6ECAB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7"/>
  </w:num>
  <w:num w:numId="4">
    <w:abstractNumId w:val="18"/>
  </w:num>
  <w:num w:numId="5">
    <w:abstractNumId w:val="12"/>
  </w:num>
  <w:num w:numId="6">
    <w:abstractNumId w:val="20"/>
  </w:num>
  <w:num w:numId="7">
    <w:abstractNumId w:val="29"/>
  </w:num>
  <w:num w:numId="8">
    <w:abstractNumId w:val="13"/>
  </w:num>
  <w:num w:numId="9">
    <w:abstractNumId w:val="37"/>
  </w:num>
  <w:num w:numId="10">
    <w:abstractNumId w:val="16"/>
    <w:lvlOverride w:ilvl="0">
      <w:startOverride w:val="1"/>
    </w:lvlOverride>
  </w:num>
  <w:num w:numId="11">
    <w:abstractNumId w:val="24"/>
  </w:num>
  <w:num w:numId="12">
    <w:abstractNumId w:val="14"/>
  </w:num>
  <w:num w:numId="13">
    <w:abstractNumId w:val="10"/>
  </w:num>
  <w:num w:numId="14">
    <w:abstractNumId w:val="4"/>
  </w:num>
  <w:num w:numId="15">
    <w:abstractNumId w:val="6"/>
  </w:num>
  <w:num w:numId="16">
    <w:abstractNumId w:val="19"/>
  </w:num>
  <w:num w:numId="17">
    <w:abstractNumId w:val="25"/>
  </w:num>
  <w:num w:numId="18">
    <w:abstractNumId w:val="5"/>
  </w:num>
  <w:num w:numId="19">
    <w:abstractNumId w:val="0"/>
  </w:num>
  <w:num w:numId="20">
    <w:abstractNumId w:val="31"/>
  </w:num>
  <w:num w:numId="21">
    <w:abstractNumId w:val="28"/>
  </w:num>
  <w:num w:numId="22">
    <w:abstractNumId w:val="3"/>
  </w:num>
  <w:num w:numId="23">
    <w:abstractNumId w:val="8"/>
  </w:num>
  <w:num w:numId="24">
    <w:abstractNumId w:val="2"/>
  </w:num>
  <w:num w:numId="25">
    <w:abstractNumId w:val="9"/>
  </w:num>
  <w:num w:numId="26">
    <w:abstractNumId w:val="32"/>
  </w:num>
  <w:num w:numId="27">
    <w:abstractNumId w:val="23"/>
  </w:num>
  <w:num w:numId="28">
    <w:abstractNumId w:val="39"/>
  </w:num>
  <w:num w:numId="29">
    <w:abstractNumId w:val="22"/>
  </w:num>
  <w:num w:numId="30">
    <w:abstractNumId w:val="7"/>
  </w:num>
  <w:num w:numId="31">
    <w:abstractNumId w:val="11"/>
  </w:num>
  <w:num w:numId="32">
    <w:abstractNumId w:val="15"/>
  </w:num>
  <w:num w:numId="33">
    <w:abstractNumId w:val="30"/>
  </w:num>
  <w:num w:numId="34">
    <w:abstractNumId w:val="35"/>
  </w:num>
  <w:num w:numId="35">
    <w:abstractNumId w:val="36"/>
  </w:num>
  <w:num w:numId="36">
    <w:abstractNumId w:val="27"/>
  </w:num>
  <w:num w:numId="37">
    <w:abstractNumId w:val="21"/>
  </w:num>
  <w:num w:numId="38">
    <w:abstractNumId w:val="38"/>
  </w:num>
  <w:num w:numId="39">
    <w:abstractNumId w:val="33"/>
  </w:num>
  <w:num w:numId="40">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55"/>
    <w:rsid w:val="00003EBC"/>
    <w:rsid w:val="00003EC3"/>
    <w:rsid w:val="000049B7"/>
    <w:rsid w:val="00004C2D"/>
    <w:rsid w:val="00005012"/>
    <w:rsid w:val="00006446"/>
    <w:rsid w:val="00006896"/>
    <w:rsid w:val="00007063"/>
    <w:rsid w:val="00007CDC"/>
    <w:rsid w:val="00007D6B"/>
    <w:rsid w:val="000101EC"/>
    <w:rsid w:val="000104C6"/>
    <w:rsid w:val="000110C9"/>
    <w:rsid w:val="00011B28"/>
    <w:rsid w:val="00011EE8"/>
    <w:rsid w:val="0001288B"/>
    <w:rsid w:val="00012B9F"/>
    <w:rsid w:val="00012C16"/>
    <w:rsid w:val="00013471"/>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44"/>
    <w:rsid w:val="00022522"/>
    <w:rsid w:val="00022C6C"/>
    <w:rsid w:val="00023233"/>
    <w:rsid w:val="00023393"/>
    <w:rsid w:val="00023D0C"/>
    <w:rsid w:val="000244A8"/>
    <w:rsid w:val="00024A99"/>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08B"/>
    <w:rsid w:val="000358D1"/>
    <w:rsid w:val="00035EA8"/>
    <w:rsid w:val="00035EDA"/>
    <w:rsid w:val="00035F74"/>
    <w:rsid w:val="00036813"/>
    <w:rsid w:val="00036BA1"/>
    <w:rsid w:val="000405A0"/>
    <w:rsid w:val="00040B78"/>
    <w:rsid w:val="0004149C"/>
    <w:rsid w:val="00041A34"/>
    <w:rsid w:val="00041A70"/>
    <w:rsid w:val="000420BB"/>
    <w:rsid w:val="000422E2"/>
    <w:rsid w:val="00042746"/>
    <w:rsid w:val="00042BE0"/>
    <w:rsid w:val="00042F22"/>
    <w:rsid w:val="000435E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BB7"/>
    <w:rsid w:val="00055E34"/>
    <w:rsid w:val="0005606A"/>
    <w:rsid w:val="00056718"/>
    <w:rsid w:val="00056A67"/>
    <w:rsid w:val="00056B13"/>
    <w:rsid w:val="00056F02"/>
    <w:rsid w:val="00056FD0"/>
    <w:rsid w:val="00057117"/>
    <w:rsid w:val="000571B8"/>
    <w:rsid w:val="00057451"/>
    <w:rsid w:val="0005757D"/>
    <w:rsid w:val="000575ED"/>
    <w:rsid w:val="00057EFC"/>
    <w:rsid w:val="000604D2"/>
    <w:rsid w:val="000616E7"/>
    <w:rsid w:val="00061829"/>
    <w:rsid w:val="0006232B"/>
    <w:rsid w:val="000625C8"/>
    <w:rsid w:val="00062A46"/>
    <w:rsid w:val="00063217"/>
    <w:rsid w:val="00063AC3"/>
    <w:rsid w:val="00063BFB"/>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9C1"/>
    <w:rsid w:val="00081AE6"/>
    <w:rsid w:val="00081B32"/>
    <w:rsid w:val="00082135"/>
    <w:rsid w:val="00083BE4"/>
    <w:rsid w:val="0008537D"/>
    <w:rsid w:val="00085543"/>
    <w:rsid w:val="000855EB"/>
    <w:rsid w:val="000858BB"/>
    <w:rsid w:val="00085A01"/>
    <w:rsid w:val="00085B52"/>
    <w:rsid w:val="00085E11"/>
    <w:rsid w:val="00086099"/>
    <w:rsid w:val="000862B6"/>
    <w:rsid w:val="0008652C"/>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735"/>
    <w:rsid w:val="000A447B"/>
    <w:rsid w:val="000A56F2"/>
    <w:rsid w:val="000A5764"/>
    <w:rsid w:val="000A6F93"/>
    <w:rsid w:val="000A7465"/>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3F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C7871"/>
    <w:rsid w:val="000D0A64"/>
    <w:rsid w:val="000D0D07"/>
    <w:rsid w:val="000D162D"/>
    <w:rsid w:val="000D2F63"/>
    <w:rsid w:val="000D2FB2"/>
    <w:rsid w:val="000D3809"/>
    <w:rsid w:val="000D4439"/>
    <w:rsid w:val="000D4797"/>
    <w:rsid w:val="000D4D63"/>
    <w:rsid w:val="000D51D9"/>
    <w:rsid w:val="000D57A7"/>
    <w:rsid w:val="000D5C17"/>
    <w:rsid w:val="000E0321"/>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0F77A4"/>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3A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84C"/>
    <w:rsid w:val="00122BB4"/>
    <w:rsid w:val="00123549"/>
    <w:rsid w:val="00123BFE"/>
    <w:rsid w:val="00123CA8"/>
    <w:rsid w:val="00123D2C"/>
    <w:rsid w:val="00124463"/>
    <w:rsid w:val="001248FC"/>
    <w:rsid w:val="00125448"/>
    <w:rsid w:val="00125B92"/>
    <w:rsid w:val="00125D8C"/>
    <w:rsid w:val="00125FDB"/>
    <w:rsid w:val="00126305"/>
    <w:rsid w:val="00126967"/>
    <w:rsid w:val="00126B4A"/>
    <w:rsid w:val="00127931"/>
    <w:rsid w:val="00127D88"/>
    <w:rsid w:val="00127E5D"/>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41D"/>
    <w:rsid w:val="00136790"/>
    <w:rsid w:val="001375CD"/>
    <w:rsid w:val="001376DA"/>
    <w:rsid w:val="001376E6"/>
    <w:rsid w:val="00137AB5"/>
    <w:rsid w:val="00137F0B"/>
    <w:rsid w:val="001400BC"/>
    <w:rsid w:val="001409CF"/>
    <w:rsid w:val="00141601"/>
    <w:rsid w:val="00141990"/>
    <w:rsid w:val="00141A18"/>
    <w:rsid w:val="00141BE7"/>
    <w:rsid w:val="001420DF"/>
    <w:rsid w:val="001425FB"/>
    <w:rsid w:val="00142ADE"/>
    <w:rsid w:val="00143127"/>
    <w:rsid w:val="00143140"/>
    <w:rsid w:val="001431B9"/>
    <w:rsid w:val="00143E76"/>
    <w:rsid w:val="001440F0"/>
    <w:rsid w:val="001445CE"/>
    <w:rsid w:val="00144726"/>
    <w:rsid w:val="001447B7"/>
    <w:rsid w:val="001449E3"/>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416"/>
    <w:rsid w:val="00157A90"/>
    <w:rsid w:val="00157B7B"/>
    <w:rsid w:val="00157F10"/>
    <w:rsid w:val="0016036A"/>
    <w:rsid w:val="00160461"/>
    <w:rsid w:val="001620A9"/>
    <w:rsid w:val="00162135"/>
    <w:rsid w:val="001629FC"/>
    <w:rsid w:val="00162BD1"/>
    <w:rsid w:val="00163554"/>
    <w:rsid w:val="00163FBD"/>
    <w:rsid w:val="00165625"/>
    <w:rsid w:val="001659C1"/>
    <w:rsid w:val="00165FCC"/>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17D"/>
    <w:rsid w:val="001762DB"/>
    <w:rsid w:val="00176850"/>
    <w:rsid w:val="00176BF2"/>
    <w:rsid w:val="00176E09"/>
    <w:rsid w:val="00176E1A"/>
    <w:rsid w:val="00176FB5"/>
    <w:rsid w:val="00180304"/>
    <w:rsid w:val="0018061D"/>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40C"/>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552"/>
    <w:rsid w:val="001A771A"/>
    <w:rsid w:val="001A7B2A"/>
    <w:rsid w:val="001A7F26"/>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5ED"/>
    <w:rsid w:val="001B66D0"/>
    <w:rsid w:val="001B69DB"/>
    <w:rsid w:val="001B7034"/>
    <w:rsid w:val="001B74F6"/>
    <w:rsid w:val="001B7A96"/>
    <w:rsid w:val="001C02A9"/>
    <w:rsid w:val="001C04B4"/>
    <w:rsid w:val="001C0512"/>
    <w:rsid w:val="001C07F8"/>
    <w:rsid w:val="001C0AAE"/>
    <w:rsid w:val="001C0B35"/>
    <w:rsid w:val="001C1A1A"/>
    <w:rsid w:val="001C1CE5"/>
    <w:rsid w:val="001C1E98"/>
    <w:rsid w:val="001C1F1B"/>
    <w:rsid w:val="001C27E1"/>
    <w:rsid w:val="001C3D2A"/>
    <w:rsid w:val="001C3D34"/>
    <w:rsid w:val="001C4C20"/>
    <w:rsid w:val="001C4E57"/>
    <w:rsid w:val="001C508D"/>
    <w:rsid w:val="001C5B0C"/>
    <w:rsid w:val="001C6312"/>
    <w:rsid w:val="001C646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A66"/>
    <w:rsid w:val="001E0B68"/>
    <w:rsid w:val="001E0E46"/>
    <w:rsid w:val="001E1C41"/>
    <w:rsid w:val="001E217E"/>
    <w:rsid w:val="001E23E4"/>
    <w:rsid w:val="001E2AD7"/>
    <w:rsid w:val="001E2C06"/>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153"/>
    <w:rsid w:val="00200490"/>
    <w:rsid w:val="002009A4"/>
    <w:rsid w:val="00201F2A"/>
    <w:rsid w:val="00201F3A"/>
    <w:rsid w:val="0020271C"/>
    <w:rsid w:val="002028F1"/>
    <w:rsid w:val="0020327F"/>
    <w:rsid w:val="00203A34"/>
    <w:rsid w:val="00203F96"/>
    <w:rsid w:val="002041BF"/>
    <w:rsid w:val="00204831"/>
    <w:rsid w:val="00204E32"/>
    <w:rsid w:val="002050C4"/>
    <w:rsid w:val="00205300"/>
    <w:rsid w:val="00205CEA"/>
    <w:rsid w:val="00205D25"/>
    <w:rsid w:val="002063BF"/>
    <w:rsid w:val="0020640E"/>
    <w:rsid w:val="00206794"/>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6E96"/>
    <w:rsid w:val="00216F2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4F7C"/>
    <w:rsid w:val="0023552D"/>
    <w:rsid w:val="00235632"/>
    <w:rsid w:val="00235872"/>
    <w:rsid w:val="00235CAB"/>
    <w:rsid w:val="00235DAD"/>
    <w:rsid w:val="00236099"/>
    <w:rsid w:val="00236378"/>
    <w:rsid w:val="00236493"/>
    <w:rsid w:val="0023684E"/>
    <w:rsid w:val="00236ED3"/>
    <w:rsid w:val="002373E4"/>
    <w:rsid w:val="00237918"/>
    <w:rsid w:val="0024075E"/>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62D3"/>
    <w:rsid w:val="00257048"/>
    <w:rsid w:val="00257543"/>
    <w:rsid w:val="002577E6"/>
    <w:rsid w:val="002602EB"/>
    <w:rsid w:val="00260656"/>
    <w:rsid w:val="002608DB"/>
    <w:rsid w:val="00260A05"/>
    <w:rsid w:val="00260F74"/>
    <w:rsid w:val="00261782"/>
    <w:rsid w:val="002617E7"/>
    <w:rsid w:val="00261A3A"/>
    <w:rsid w:val="00262A43"/>
    <w:rsid w:val="00262A45"/>
    <w:rsid w:val="00262D04"/>
    <w:rsid w:val="00262FAD"/>
    <w:rsid w:val="002637AE"/>
    <w:rsid w:val="00264189"/>
    <w:rsid w:val="00264228"/>
    <w:rsid w:val="00264334"/>
    <w:rsid w:val="00264643"/>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D83"/>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967"/>
    <w:rsid w:val="00290CC2"/>
    <w:rsid w:val="002911CE"/>
    <w:rsid w:val="002912B7"/>
    <w:rsid w:val="002912C6"/>
    <w:rsid w:val="0029135D"/>
    <w:rsid w:val="00291685"/>
    <w:rsid w:val="0029196F"/>
    <w:rsid w:val="00291FC4"/>
    <w:rsid w:val="00292174"/>
    <w:rsid w:val="00292EB7"/>
    <w:rsid w:val="002931D9"/>
    <w:rsid w:val="00293481"/>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7E"/>
    <w:rsid w:val="002A4C62"/>
    <w:rsid w:val="002A4CC1"/>
    <w:rsid w:val="002A5F35"/>
    <w:rsid w:val="002A6158"/>
    <w:rsid w:val="002A6CFF"/>
    <w:rsid w:val="002A6E91"/>
    <w:rsid w:val="002A6FF8"/>
    <w:rsid w:val="002A7683"/>
    <w:rsid w:val="002A7EEF"/>
    <w:rsid w:val="002B191B"/>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894"/>
    <w:rsid w:val="002C1961"/>
    <w:rsid w:val="002C26E7"/>
    <w:rsid w:val="002C2995"/>
    <w:rsid w:val="002C31B3"/>
    <w:rsid w:val="002C38A5"/>
    <w:rsid w:val="002C3FD2"/>
    <w:rsid w:val="002C400F"/>
    <w:rsid w:val="002C41E6"/>
    <w:rsid w:val="002C4435"/>
    <w:rsid w:val="002C4558"/>
    <w:rsid w:val="002C4674"/>
    <w:rsid w:val="002C499E"/>
    <w:rsid w:val="002C507B"/>
    <w:rsid w:val="002C578F"/>
    <w:rsid w:val="002C5DD1"/>
    <w:rsid w:val="002C62C8"/>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F83"/>
    <w:rsid w:val="002E56A7"/>
    <w:rsid w:val="002E659A"/>
    <w:rsid w:val="002E689B"/>
    <w:rsid w:val="002E7003"/>
    <w:rsid w:val="002E7CAE"/>
    <w:rsid w:val="002E7F8F"/>
    <w:rsid w:val="002F03A0"/>
    <w:rsid w:val="002F07A4"/>
    <w:rsid w:val="002F18AB"/>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2F79C4"/>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7E1"/>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163E6"/>
    <w:rsid w:val="00320177"/>
    <w:rsid w:val="003203ED"/>
    <w:rsid w:val="0032130F"/>
    <w:rsid w:val="00322820"/>
    <w:rsid w:val="00322C9F"/>
    <w:rsid w:val="0032301B"/>
    <w:rsid w:val="003233E6"/>
    <w:rsid w:val="00324135"/>
    <w:rsid w:val="003242DD"/>
    <w:rsid w:val="00324AA1"/>
    <w:rsid w:val="00324D23"/>
    <w:rsid w:val="00325768"/>
    <w:rsid w:val="00325884"/>
    <w:rsid w:val="00325F35"/>
    <w:rsid w:val="003260A9"/>
    <w:rsid w:val="003273A2"/>
    <w:rsid w:val="00330D80"/>
    <w:rsid w:val="00331751"/>
    <w:rsid w:val="00331CE4"/>
    <w:rsid w:val="00331E4A"/>
    <w:rsid w:val="003329DD"/>
    <w:rsid w:val="00332EC2"/>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108"/>
    <w:rsid w:val="00340CA8"/>
    <w:rsid w:val="0034106C"/>
    <w:rsid w:val="0034166C"/>
    <w:rsid w:val="003419A8"/>
    <w:rsid w:val="00342BD7"/>
    <w:rsid w:val="00343C63"/>
    <w:rsid w:val="00343CA5"/>
    <w:rsid w:val="00343E77"/>
    <w:rsid w:val="0034447A"/>
    <w:rsid w:val="00345330"/>
    <w:rsid w:val="00345335"/>
    <w:rsid w:val="003457B9"/>
    <w:rsid w:val="00346012"/>
    <w:rsid w:val="00346DB5"/>
    <w:rsid w:val="00347574"/>
    <w:rsid w:val="003477B1"/>
    <w:rsid w:val="0034795E"/>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5A4"/>
    <w:rsid w:val="00354F66"/>
    <w:rsid w:val="0035511B"/>
    <w:rsid w:val="0035537D"/>
    <w:rsid w:val="00355F9B"/>
    <w:rsid w:val="00356081"/>
    <w:rsid w:val="00357380"/>
    <w:rsid w:val="00360259"/>
    <w:rsid w:val="003602D9"/>
    <w:rsid w:val="00361055"/>
    <w:rsid w:val="00361229"/>
    <w:rsid w:val="00361261"/>
    <w:rsid w:val="003616AD"/>
    <w:rsid w:val="003626B8"/>
    <w:rsid w:val="00362E1B"/>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11F3"/>
    <w:rsid w:val="0038208D"/>
    <w:rsid w:val="003821E2"/>
    <w:rsid w:val="00382932"/>
    <w:rsid w:val="00383467"/>
    <w:rsid w:val="00384177"/>
    <w:rsid w:val="00384284"/>
    <w:rsid w:val="003847C4"/>
    <w:rsid w:val="00385662"/>
    <w:rsid w:val="00385770"/>
    <w:rsid w:val="003858D1"/>
    <w:rsid w:val="00385932"/>
    <w:rsid w:val="003859C1"/>
    <w:rsid w:val="00385BF0"/>
    <w:rsid w:val="003861C1"/>
    <w:rsid w:val="00386578"/>
    <w:rsid w:val="00386747"/>
    <w:rsid w:val="003913DB"/>
    <w:rsid w:val="00391638"/>
    <w:rsid w:val="003918D0"/>
    <w:rsid w:val="003927B8"/>
    <w:rsid w:val="00392991"/>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1FEA"/>
    <w:rsid w:val="003A21A8"/>
    <w:rsid w:val="003A2207"/>
    <w:rsid w:val="003A2223"/>
    <w:rsid w:val="003A2A0F"/>
    <w:rsid w:val="003A2DD7"/>
    <w:rsid w:val="003A3994"/>
    <w:rsid w:val="003A45A1"/>
    <w:rsid w:val="003A4C90"/>
    <w:rsid w:val="003A4EA6"/>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591"/>
    <w:rsid w:val="003B29D5"/>
    <w:rsid w:val="003B2AE7"/>
    <w:rsid w:val="003B2B22"/>
    <w:rsid w:val="003B35D9"/>
    <w:rsid w:val="003B369F"/>
    <w:rsid w:val="003B36A3"/>
    <w:rsid w:val="003B4971"/>
    <w:rsid w:val="003B4EB4"/>
    <w:rsid w:val="003B53CC"/>
    <w:rsid w:val="003B6262"/>
    <w:rsid w:val="003B628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8C4"/>
    <w:rsid w:val="003C2907"/>
    <w:rsid w:val="003C3076"/>
    <w:rsid w:val="003C359F"/>
    <w:rsid w:val="003C3E39"/>
    <w:rsid w:val="003C3FC4"/>
    <w:rsid w:val="003C4271"/>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1D1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3F7E93"/>
    <w:rsid w:val="004000E8"/>
    <w:rsid w:val="004008B0"/>
    <w:rsid w:val="00402353"/>
    <w:rsid w:val="0040255D"/>
    <w:rsid w:val="004028A6"/>
    <w:rsid w:val="00402E2B"/>
    <w:rsid w:val="00402EB4"/>
    <w:rsid w:val="004031FE"/>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032"/>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0DC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717"/>
    <w:rsid w:val="00446A99"/>
    <w:rsid w:val="0044705A"/>
    <w:rsid w:val="004475BC"/>
    <w:rsid w:val="00447BC3"/>
    <w:rsid w:val="00450214"/>
    <w:rsid w:val="00450677"/>
    <w:rsid w:val="00450D4A"/>
    <w:rsid w:val="00450E98"/>
    <w:rsid w:val="00451253"/>
    <w:rsid w:val="004515D3"/>
    <w:rsid w:val="004517AA"/>
    <w:rsid w:val="00452611"/>
    <w:rsid w:val="00452864"/>
    <w:rsid w:val="00452CAC"/>
    <w:rsid w:val="0045334A"/>
    <w:rsid w:val="00453980"/>
    <w:rsid w:val="004544B0"/>
    <w:rsid w:val="004545AE"/>
    <w:rsid w:val="00454AEC"/>
    <w:rsid w:val="004550B7"/>
    <w:rsid w:val="004555E3"/>
    <w:rsid w:val="0045566F"/>
    <w:rsid w:val="004559DC"/>
    <w:rsid w:val="00455BC8"/>
    <w:rsid w:val="00455D0D"/>
    <w:rsid w:val="00455E5B"/>
    <w:rsid w:val="0045606C"/>
    <w:rsid w:val="0045607F"/>
    <w:rsid w:val="0045630F"/>
    <w:rsid w:val="00456425"/>
    <w:rsid w:val="004565EB"/>
    <w:rsid w:val="00456D12"/>
    <w:rsid w:val="00457565"/>
    <w:rsid w:val="00457B71"/>
    <w:rsid w:val="00460D15"/>
    <w:rsid w:val="00461301"/>
    <w:rsid w:val="0046156E"/>
    <w:rsid w:val="004616E7"/>
    <w:rsid w:val="00461892"/>
    <w:rsid w:val="00462C36"/>
    <w:rsid w:val="00463185"/>
    <w:rsid w:val="004633B5"/>
    <w:rsid w:val="0046493F"/>
    <w:rsid w:val="00464990"/>
    <w:rsid w:val="004661B2"/>
    <w:rsid w:val="00466427"/>
    <w:rsid w:val="00466978"/>
    <w:rsid w:val="004669E2"/>
    <w:rsid w:val="00466D07"/>
    <w:rsid w:val="00466F5E"/>
    <w:rsid w:val="00466FFC"/>
    <w:rsid w:val="00470334"/>
    <w:rsid w:val="00470685"/>
    <w:rsid w:val="00470B4B"/>
    <w:rsid w:val="00470C2E"/>
    <w:rsid w:val="00470C31"/>
    <w:rsid w:val="0047108A"/>
    <w:rsid w:val="004719A4"/>
    <w:rsid w:val="0047209E"/>
    <w:rsid w:val="0047271B"/>
    <w:rsid w:val="00472CF7"/>
    <w:rsid w:val="00472FB6"/>
    <w:rsid w:val="004734D0"/>
    <w:rsid w:val="00473BE8"/>
    <w:rsid w:val="00473DCE"/>
    <w:rsid w:val="00473ED6"/>
    <w:rsid w:val="0047400F"/>
    <w:rsid w:val="0047438C"/>
    <w:rsid w:val="00474C39"/>
    <w:rsid w:val="00474ED0"/>
    <w:rsid w:val="004751F6"/>
    <w:rsid w:val="004754DA"/>
    <w:rsid w:val="0047556B"/>
    <w:rsid w:val="004759C4"/>
    <w:rsid w:val="00476675"/>
    <w:rsid w:val="00476AA1"/>
    <w:rsid w:val="00477493"/>
    <w:rsid w:val="00477768"/>
    <w:rsid w:val="0047789C"/>
    <w:rsid w:val="0047793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3C9D"/>
    <w:rsid w:val="00494642"/>
    <w:rsid w:val="00495043"/>
    <w:rsid w:val="00496164"/>
    <w:rsid w:val="0049631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5BB7"/>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1E73"/>
    <w:rsid w:val="004C23B1"/>
    <w:rsid w:val="004C23BA"/>
    <w:rsid w:val="004C2B95"/>
    <w:rsid w:val="004C3216"/>
    <w:rsid w:val="004C34AA"/>
    <w:rsid w:val="004C3898"/>
    <w:rsid w:val="004C3B35"/>
    <w:rsid w:val="004C3C55"/>
    <w:rsid w:val="004C4662"/>
    <w:rsid w:val="004C4F7E"/>
    <w:rsid w:val="004C4FCB"/>
    <w:rsid w:val="004C5EE9"/>
    <w:rsid w:val="004C5EF7"/>
    <w:rsid w:val="004C6A7A"/>
    <w:rsid w:val="004C6D2F"/>
    <w:rsid w:val="004C6D4F"/>
    <w:rsid w:val="004C6E36"/>
    <w:rsid w:val="004C6ED8"/>
    <w:rsid w:val="004C7162"/>
    <w:rsid w:val="004C72BF"/>
    <w:rsid w:val="004C77F7"/>
    <w:rsid w:val="004D06BB"/>
    <w:rsid w:val="004D0FE9"/>
    <w:rsid w:val="004D2254"/>
    <w:rsid w:val="004D22B0"/>
    <w:rsid w:val="004D3084"/>
    <w:rsid w:val="004D36B1"/>
    <w:rsid w:val="004D3C15"/>
    <w:rsid w:val="004D5318"/>
    <w:rsid w:val="004D53E8"/>
    <w:rsid w:val="004D594B"/>
    <w:rsid w:val="004D6C54"/>
    <w:rsid w:val="004D6E88"/>
    <w:rsid w:val="004D7EBD"/>
    <w:rsid w:val="004E0449"/>
    <w:rsid w:val="004E0AFB"/>
    <w:rsid w:val="004E0BC3"/>
    <w:rsid w:val="004E11E7"/>
    <w:rsid w:val="004E1513"/>
    <w:rsid w:val="004E165C"/>
    <w:rsid w:val="004E1827"/>
    <w:rsid w:val="004E18D2"/>
    <w:rsid w:val="004E1B0F"/>
    <w:rsid w:val="004E1B36"/>
    <w:rsid w:val="004E1E53"/>
    <w:rsid w:val="004E2043"/>
    <w:rsid w:val="004E23FC"/>
    <w:rsid w:val="004E244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712"/>
    <w:rsid w:val="004F4A8C"/>
    <w:rsid w:val="004F4DA3"/>
    <w:rsid w:val="004F5237"/>
    <w:rsid w:val="004F53E9"/>
    <w:rsid w:val="004F5EA9"/>
    <w:rsid w:val="004F631B"/>
    <w:rsid w:val="004F6322"/>
    <w:rsid w:val="004F6368"/>
    <w:rsid w:val="004F659D"/>
    <w:rsid w:val="004F66A7"/>
    <w:rsid w:val="004F71F7"/>
    <w:rsid w:val="004F735E"/>
    <w:rsid w:val="00500B52"/>
    <w:rsid w:val="005011DB"/>
    <w:rsid w:val="005011FB"/>
    <w:rsid w:val="00502665"/>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089"/>
    <w:rsid w:val="005153A7"/>
    <w:rsid w:val="005158BD"/>
    <w:rsid w:val="00516C01"/>
    <w:rsid w:val="0051769E"/>
    <w:rsid w:val="00517EBB"/>
    <w:rsid w:val="00517FD4"/>
    <w:rsid w:val="005219CF"/>
    <w:rsid w:val="00522170"/>
    <w:rsid w:val="00522857"/>
    <w:rsid w:val="005234AA"/>
    <w:rsid w:val="005240BB"/>
    <w:rsid w:val="00524828"/>
    <w:rsid w:val="005251B0"/>
    <w:rsid w:val="00525884"/>
    <w:rsid w:val="00525A40"/>
    <w:rsid w:val="00526392"/>
    <w:rsid w:val="005266DD"/>
    <w:rsid w:val="00527114"/>
    <w:rsid w:val="00527D68"/>
    <w:rsid w:val="00530333"/>
    <w:rsid w:val="00530A9B"/>
    <w:rsid w:val="00530D7E"/>
    <w:rsid w:val="005326C4"/>
    <w:rsid w:val="00532A25"/>
    <w:rsid w:val="00533950"/>
    <w:rsid w:val="00533C5F"/>
    <w:rsid w:val="00533EC3"/>
    <w:rsid w:val="00534AE0"/>
    <w:rsid w:val="00534B59"/>
    <w:rsid w:val="00534D24"/>
    <w:rsid w:val="00534D72"/>
    <w:rsid w:val="00535499"/>
    <w:rsid w:val="00535666"/>
    <w:rsid w:val="00536759"/>
    <w:rsid w:val="00536B97"/>
    <w:rsid w:val="00536C0D"/>
    <w:rsid w:val="00536D79"/>
    <w:rsid w:val="00536DC9"/>
    <w:rsid w:val="00536DF7"/>
    <w:rsid w:val="00536F8B"/>
    <w:rsid w:val="00537C62"/>
    <w:rsid w:val="00537DB8"/>
    <w:rsid w:val="005408C3"/>
    <w:rsid w:val="00540A98"/>
    <w:rsid w:val="00541033"/>
    <w:rsid w:val="0054206F"/>
    <w:rsid w:val="00542D12"/>
    <w:rsid w:val="00543B3A"/>
    <w:rsid w:val="00543E1E"/>
    <w:rsid w:val="005445F6"/>
    <w:rsid w:val="00544751"/>
    <w:rsid w:val="00544AC8"/>
    <w:rsid w:val="00545011"/>
    <w:rsid w:val="00545796"/>
    <w:rsid w:val="0054634A"/>
    <w:rsid w:val="005464F6"/>
    <w:rsid w:val="005465A6"/>
    <w:rsid w:val="00546970"/>
    <w:rsid w:val="00546D33"/>
    <w:rsid w:val="00546F3E"/>
    <w:rsid w:val="00547601"/>
    <w:rsid w:val="00547FF5"/>
    <w:rsid w:val="00551810"/>
    <w:rsid w:val="005525F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448"/>
    <w:rsid w:val="00563ABE"/>
    <w:rsid w:val="00563BB8"/>
    <w:rsid w:val="00563D67"/>
    <w:rsid w:val="005644B2"/>
    <w:rsid w:val="005647E4"/>
    <w:rsid w:val="00564FBF"/>
    <w:rsid w:val="00565067"/>
    <w:rsid w:val="005657AA"/>
    <w:rsid w:val="00565DED"/>
    <w:rsid w:val="00566557"/>
    <w:rsid w:val="005666FA"/>
    <w:rsid w:val="00566EC0"/>
    <w:rsid w:val="0056743A"/>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6D1F"/>
    <w:rsid w:val="0057762F"/>
    <w:rsid w:val="005807DC"/>
    <w:rsid w:val="0058172D"/>
    <w:rsid w:val="005817C9"/>
    <w:rsid w:val="00581CAC"/>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6D"/>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76B"/>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51E9"/>
    <w:rsid w:val="005C61AC"/>
    <w:rsid w:val="005C63F1"/>
    <w:rsid w:val="005C65B6"/>
    <w:rsid w:val="005C6953"/>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5D32"/>
    <w:rsid w:val="005E6492"/>
    <w:rsid w:val="005E6AD3"/>
    <w:rsid w:val="005E7122"/>
    <w:rsid w:val="005E775A"/>
    <w:rsid w:val="005F06EF"/>
    <w:rsid w:val="005F09EB"/>
    <w:rsid w:val="005F21F3"/>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AF1"/>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0D"/>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5885"/>
    <w:rsid w:val="00626130"/>
    <w:rsid w:val="006261B8"/>
    <w:rsid w:val="00626339"/>
    <w:rsid w:val="00626579"/>
    <w:rsid w:val="006274A6"/>
    <w:rsid w:val="0062798D"/>
    <w:rsid w:val="00627C72"/>
    <w:rsid w:val="00627DB8"/>
    <w:rsid w:val="00630001"/>
    <w:rsid w:val="00630D0D"/>
    <w:rsid w:val="00630D14"/>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0FA9"/>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47B"/>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79C"/>
    <w:rsid w:val="00696949"/>
    <w:rsid w:val="006969A8"/>
    <w:rsid w:val="00697052"/>
    <w:rsid w:val="00697530"/>
    <w:rsid w:val="00697F2A"/>
    <w:rsid w:val="006A00BB"/>
    <w:rsid w:val="006A018B"/>
    <w:rsid w:val="006A06B2"/>
    <w:rsid w:val="006A0E56"/>
    <w:rsid w:val="006A0ECE"/>
    <w:rsid w:val="006A21EA"/>
    <w:rsid w:val="006A2964"/>
    <w:rsid w:val="006A2F5F"/>
    <w:rsid w:val="006A325E"/>
    <w:rsid w:val="006A46FB"/>
    <w:rsid w:val="006A484E"/>
    <w:rsid w:val="006A52D5"/>
    <w:rsid w:val="006A5382"/>
    <w:rsid w:val="006A586C"/>
    <w:rsid w:val="006A5E09"/>
    <w:rsid w:val="006A5E28"/>
    <w:rsid w:val="006A613C"/>
    <w:rsid w:val="006A6555"/>
    <w:rsid w:val="006A6789"/>
    <w:rsid w:val="006A697B"/>
    <w:rsid w:val="006A6F6A"/>
    <w:rsid w:val="006A72C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95C"/>
    <w:rsid w:val="006B3DBE"/>
    <w:rsid w:val="006B4329"/>
    <w:rsid w:val="006B49CD"/>
    <w:rsid w:val="006B4B55"/>
    <w:rsid w:val="006B50CF"/>
    <w:rsid w:val="006B528F"/>
    <w:rsid w:val="006B56C6"/>
    <w:rsid w:val="006B5AA5"/>
    <w:rsid w:val="006B683C"/>
    <w:rsid w:val="006B70C9"/>
    <w:rsid w:val="006B7277"/>
    <w:rsid w:val="006B72C7"/>
    <w:rsid w:val="006B7F40"/>
    <w:rsid w:val="006C03B8"/>
    <w:rsid w:val="006C05EE"/>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1E26"/>
    <w:rsid w:val="006D22F5"/>
    <w:rsid w:val="006D269B"/>
    <w:rsid w:val="006D305F"/>
    <w:rsid w:val="006D351A"/>
    <w:rsid w:val="006D416F"/>
    <w:rsid w:val="006D44A2"/>
    <w:rsid w:val="006D4C5B"/>
    <w:rsid w:val="006D5797"/>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23"/>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3EAD"/>
    <w:rsid w:val="006F43CD"/>
    <w:rsid w:val="006F487D"/>
    <w:rsid w:val="006F4FB3"/>
    <w:rsid w:val="006F58D4"/>
    <w:rsid w:val="006F5C9A"/>
    <w:rsid w:val="006F5CAA"/>
    <w:rsid w:val="006F65ED"/>
    <w:rsid w:val="006F6A84"/>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2A4"/>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AA5"/>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8F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092"/>
    <w:rsid w:val="0073054C"/>
    <w:rsid w:val="00730C7D"/>
    <w:rsid w:val="00731066"/>
    <w:rsid w:val="0073190B"/>
    <w:rsid w:val="00731A6F"/>
    <w:rsid w:val="00731B98"/>
    <w:rsid w:val="00731F6D"/>
    <w:rsid w:val="007325A5"/>
    <w:rsid w:val="00733521"/>
    <w:rsid w:val="00733553"/>
    <w:rsid w:val="007342C6"/>
    <w:rsid w:val="007348B1"/>
    <w:rsid w:val="00734E42"/>
    <w:rsid w:val="00734FCD"/>
    <w:rsid w:val="00734FEE"/>
    <w:rsid w:val="00735696"/>
    <w:rsid w:val="0073580E"/>
    <w:rsid w:val="007358C2"/>
    <w:rsid w:val="00736143"/>
    <w:rsid w:val="007362A6"/>
    <w:rsid w:val="007362DB"/>
    <w:rsid w:val="00736AA2"/>
    <w:rsid w:val="00736D7D"/>
    <w:rsid w:val="007374F9"/>
    <w:rsid w:val="00737564"/>
    <w:rsid w:val="007375AE"/>
    <w:rsid w:val="0074063A"/>
    <w:rsid w:val="00740CB9"/>
    <w:rsid w:val="00740E58"/>
    <w:rsid w:val="007412BA"/>
    <w:rsid w:val="00741368"/>
    <w:rsid w:val="00741546"/>
    <w:rsid w:val="007427AE"/>
    <w:rsid w:val="00743A91"/>
    <w:rsid w:val="00743B80"/>
    <w:rsid w:val="00743CEF"/>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6A3"/>
    <w:rsid w:val="00752C50"/>
    <w:rsid w:val="00753FE4"/>
    <w:rsid w:val="007540AD"/>
    <w:rsid w:val="007543CB"/>
    <w:rsid w:val="00754EFD"/>
    <w:rsid w:val="00755EC7"/>
    <w:rsid w:val="007565C6"/>
    <w:rsid w:val="00756F2A"/>
    <w:rsid w:val="007571E1"/>
    <w:rsid w:val="007575D7"/>
    <w:rsid w:val="00757F5E"/>
    <w:rsid w:val="007602E4"/>
    <w:rsid w:val="007604B2"/>
    <w:rsid w:val="00760AE5"/>
    <w:rsid w:val="00760C05"/>
    <w:rsid w:val="007619D7"/>
    <w:rsid w:val="00761C8C"/>
    <w:rsid w:val="007623FB"/>
    <w:rsid w:val="007628D6"/>
    <w:rsid w:val="0076319A"/>
    <w:rsid w:val="0076383C"/>
    <w:rsid w:val="00763B30"/>
    <w:rsid w:val="00764724"/>
    <w:rsid w:val="00764AF3"/>
    <w:rsid w:val="00765009"/>
    <w:rsid w:val="007651FB"/>
    <w:rsid w:val="00765228"/>
    <w:rsid w:val="00765281"/>
    <w:rsid w:val="0076590B"/>
    <w:rsid w:val="0076661E"/>
    <w:rsid w:val="00766BAD"/>
    <w:rsid w:val="0076712C"/>
    <w:rsid w:val="00767180"/>
    <w:rsid w:val="00770099"/>
    <w:rsid w:val="00770226"/>
    <w:rsid w:val="007707F9"/>
    <w:rsid w:val="0077100B"/>
    <w:rsid w:val="00771706"/>
    <w:rsid w:val="00771AA0"/>
    <w:rsid w:val="0077213F"/>
    <w:rsid w:val="0077228F"/>
    <w:rsid w:val="007729F8"/>
    <w:rsid w:val="00772C20"/>
    <w:rsid w:val="007731AF"/>
    <w:rsid w:val="007731FC"/>
    <w:rsid w:val="00773FB6"/>
    <w:rsid w:val="00774B0E"/>
    <w:rsid w:val="00774CC1"/>
    <w:rsid w:val="007750D5"/>
    <w:rsid w:val="007755F2"/>
    <w:rsid w:val="007756F8"/>
    <w:rsid w:val="00775856"/>
    <w:rsid w:val="007758EB"/>
    <w:rsid w:val="0077654E"/>
    <w:rsid w:val="00776971"/>
    <w:rsid w:val="00776B09"/>
    <w:rsid w:val="007773C3"/>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18B"/>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2EE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800"/>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73F"/>
    <w:rsid w:val="007D28AC"/>
    <w:rsid w:val="007D2F17"/>
    <w:rsid w:val="007D342F"/>
    <w:rsid w:val="007D4508"/>
    <w:rsid w:val="007D5247"/>
    <w:rsid w:val="007D5809"/>
    <w:rsid w:val="007D5858"/>
    <w:rsid w:val="007D586C"/>
    <w:rsid w:val="007D5901"/>
    <w:rsid w:val="007D5C48"/>
    <w:rsid w:val="007D6354"/>
    <w:rsid w:val="007D63F1"/>
    <w:rsid w:val="007D65F7"/>
    <w:rsid w:val="007D676C"/>
    <w:rsid w:val="007D6C7C"/>
    <w:rsid w:val="007D7526"/>
    <w:rsid w:val="007E0747"/>
    <w:rsid w:val="007E252D"/>
    <w:rsid w:val="007E2FA0"/>
    <w:rsid w:val="007E3EF5"/>
    <w:rsid w:val="007E4150"/>
    <w:rsid w:val="007E4610"/>
    <w:rsid w:val="007E4715"/>
    <w:rsid w:val="007E4D98"/>
    <w:rsid w:val="007E4E18"/>
    <w:rsid w:val="007E505B"/>
    <w:rsid w:val="007E52B2"/>
    <w:rsid w:val="007E533C"/>
    <w:rsid w:val="007E53BD"/>
    <w:rsid w:val="007E5925"/>
    <w:rsid w:val="007E5A3F"/>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BA7"/>
    <w:rsid w:val="00803EAA"/>
    <w:rsid w:val="00803FAE"/>
    <w:rsid w:val="0080470D"/>
    <w:rsid w:val="00805143"/>
    <w:rsid w:val="008052C1"/>
    <w:rsid w:val="00805927"/>
    <w:rsid w:val="0080605F"/>
    <w:rsid w:val="00806977"/>
    <w:rsid w:val="008075D9"/>
    <w:rsid w:val="00807786"/>
    <w:rsid w:val="008101B0"/>
    <w:rsid w:val="008103DD"/>
    <w:rsid w:val="008105B4"/>
    <w:rsid w:val="00810826"/>
    <w:rsid w:val="00810D78"/>
    <w:rsid w:val="00810F8A"/>
    <w:rsid w:val="008115C7"/>
    <w:rsid w:val="008119FD"/>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3E"/>
    <w:rsid w:val="008216C3"/>
    <w:rsid w:val="00821960"/>
    <w:rsid w:val="00821C42"/>
    <w:rsid w:val="008235DB"/>
    <w:rsid w:val="008238A0"/>
    <w:rsid w:val="008240DA"/>
    <w:rsid w:val="0082461E"/>
    <w:rsid w:val="00824AB4"/>
    <w:rsid w:val="00824D87"/>
    <w:rsid w:val="00824F71"/>
    <w:rsid w:val="00825AB5"/>
    <w:rsid w:val="00825C42"/>
    <w:rsid w:val="00825D25"/>
    <w:rsid w:val="00825D9F"/>
    <w:rsid w:val="00825EEF"/>
    <w:rsid w:val="00825F51"/>
    <w:rsid w:val="0082684A"/>
    <w:rsid w:val="00826E96"/>
    <w:rsid w:val="00826ED3"/>
    <w:rsid w:val="00826FF8"/>
    <w:rsid w:val="00827825"/>
    <w:rsid w:val="00827CAB"/>
    <w:rsid w:val="00827D6F"/>
    <w:rsid w:val="00830677"/>
    <w:rsid w:val="00830E87"/>
    <w:rsid w:val="00831B04"/>
    <w:rsid w:val="00831B30"/>
    <w:rsid w:val="00831DFB"/>
    <w:rsid w:val="0083207E"/>
    <w:rsid w:val="008326C1"/>
    <w:rsid w:val="008328DA"/>
    <w:rsid w:val="0083391C"/>
    <w:rsid w:val="00833938"/>
    <w:rsid w:val="00834C82"/>
    <w:rsid w:val="0083565C"/>
    <w:rsid w:val="00835837"/>
    <w:rsid w:val="00835B86"/>
    <w:rsid w:val="008376AC"/>
    <w:rsid w:val="0083778B"/>
    <w:rsid w:val="00837D6E"/>
    <w:rsid w:val="00840C25"/>
    <w:rsid w:val="00840F75"/>
    <w:rsid w:val="0084123B"/>
    <w:rsid w:val="00841446"/>
    <w:rsid w:val="00841640"/>
    <w:rsid w:val="00841B59"/>
    <w:rsid w:val="008427B2"/>
    <w:rsid w:val="00842A83"/>
    <w:rsid w:val="00842B22"/>
    <w:rsid w:val="00842DD1"/>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114"/>
    <w:rsid w:val="00854DF6"/>
    <w:rsid w:val="0085639A"/>
    <w:rsid w:val="00856476"/>
    <w:rsid w:val="0085648F"/>
    <w:rsid w:val="0085689C"/>
    <w:rsid w:val="008568F5"/>
    <w:rsid w:val="00856911"/>
    <w:rsid w:val="008569B3"/>
    <w:rsid w:val="00857C50"/>
    <w:rsid w:val="008601DF"/>
    <w:rsid w:val="0086099B"/>
    <w:rsid w:val="00860E43"/>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AC1"/>
    <w:rsid w:val="00864DC3"/>
    <w:rsid w:val="008650A4"/>
    <w:rsid w:val="008655CD"/>
    <w:rsid w:val="008659E3"/>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5FD7"/>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555"/>
    <w:rsid w:val="00895C27"/>
    <w:rsid w:val="00896985"/>
    <w:rsid w:val="0089757A"/>
    <w:rsid w:val="00897BA6"/>
    <w:rsid w:val="008A0210"/>
    <w:rsid w:val="008A08E0"/>
    <w:rsid w:val="008A0B24"/>
    <w:rsid w:val="008A0B9C"/>
    <w:rsid w:val="008A1295"/>
    <w:rsid w:val="008A166F"/>
    <w:rsid w:val="008A21FF"/>
    <w:rsid w:val="008A2698"/>
    <w:rsid w:val="008A2A1B"/>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015"/>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7BA"/>
    <w:rsid w:val="008C31C0"/>
    <w:rsid w:val="008C386F"/>
    <w:rsid w:val="008C3A3B"/>
    <w:rsid w:val="008C3D46"/>
    <w:rsid w:val="008C48F8"/>
    <w:rsid w:val="008C4958"/>
    <w:rsid w:val="008C4BAA"/>
    <w:rsid w:val="008C4D22"/>
    <w:rsid w:val="008C4D88"/>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90D"/>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572"/>
    <w:rsid w:val="008E6D79"/>
    <w:rsid w:val="008E6E06"/>
    <w:rsid w:val="008E6E68"/>
    <w:rsid w:val="008E715E"/>
    <w:rsid w:val="008E75BD"/>
    <w:rsid w:val="008E781E"/>
    <w:rsid w:val="008E7821"/>
    <w:rsid w:val="008E7ABB"/>
    <w:rsid w:val="008F0A25"/>
    <w:rsid w:val="008F0A8D"/>
    <w:rsid w:val="008F0BAB"/>
    <w:rsid w:val="008F197A"/>
    <w:rsid w:val="008F19BC"/>
    <w:rsid w:val="008F1EAB"/>
    <w:rsid w:val="008F205C"/>
    <w:rsid w:val="008F3283"/>
    <w:rsid w:val="008F33DC"/>
    <w:rsid w:val="008F37D2"/>
    <w:rsid w:val="008F4050"/>
    <w:rsid w:val="008F477F"/>
    <w:rsid w:val="008F4AB1"/>
    <w:rsid w:val="008F4B8C"/>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99E"/>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41F"/>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8"/>
    <w:rsid w:val="0092270D"/>
    <w:rsid w:val="0092272E"/>
    <w:rsid w:val="00922BFE"/>
    <w:rsid w:val="009237EC"/>
    <w:rsid w:val="00923BD4"/>
    <w:rsid w:val="0092533B"/>
    <w:rsid w:val="0092560F"/>
    <w:rsid w:val="00925846"/>
    <w:rsid w:val="00925878"/>
    <w:rsid w:val="00925CBD"/>
    <w:rsid w:val="009274FB"/>
    <w:rsid w:val="00927AAE"/>
    <w:rsid w:val="00927E6C"/>
    <w:rsid w:val="00927FE2"/>
    <w:rsid w:val="00931BD9"/>
    <w:rsid w:val="00931F4C"/>
    <w:rsid w:val="00932130"/>
    <w:rsid w:val="00932952"/>
    <w:rsid w:val="00933367"/>
    <w:rsid w:val="00933E80"/>
    <w:rsid w:val="00934396"/>
    <w:rsid w:val="009349BB"/>
    <w:rsid w:val="00935A7F"/>
    <w:rsid w:val="009363B5"/>
    <w:rsid w:val="00940621"/>
    <w:rsid w:val="009408F8"/>
    <w:rsid w:val="00940C00"/>
    <w:rsid w:val="00941636"/>
    <w:rsid w:val="0094165A"/>
    <w:rsid w:val="00941AA8"/>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20B"/>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4D6"/>
    <w:rsid w:val="009559ED"/>
    <w:rsid w:val="0095681E"/>
    <w:rsid w:val="00956901"/>
    <w:rsid w:val="009572D4"/>
    <w:rsid w:val="009615FF"/>
    <w:rsid w:val="00961921"/>
    <w:rsid w:val="009621DE"/>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AC8"/>
    <w:rsid w:val="00972E1B"/>
    <w:rsid w:val="0097329C"/>
    <w:rsid w:val="00974375"/>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6FC8"/>
    <w:rsid w:val="009870B6"/>
    <w:rsid w:val="009874BD"/>
    <w:rsid w:val="00987F9C"/>
    <w:rsid w:val="009900E5"/>
    <w:rsid w:val="00990194"/>
    <w:rsid w:val="00990630"/>
    <w:rsid w:val="0099093F"/>
    <w:rsid w:val="00990B5A"/>
    <w:rsid w:val="00990E1C"/>
    <w:rsid w:val="00991761"/>
    <w:rsid w:val="00991B5E"/>
    <w:rsid w:val="00991DF8"/>
    <w:rsid w:val="0099235B"/>
    <w:rsid w:val="00992C14"/>
    <w:rsid w:val="00992CD7"/>
    <w:rsid w:val="00992CDF"/>
    <w:rsid w:val="00993321"/>
    <w:rsid w:val="00993750"/>
    <w:rsid w:val="009938F8"/>
    <w:rsid w:val="00993D8D"/>
    <w:rsid w:val="00994309"/>
    <w:rsid w:val="00994B02"/>
    <w:rsid w:val="00994DCA"/>
    <w:rsid w:val="009955D8"/>
    <w:rsid w:val="00995692"/>
    <w:rsid w:val="00995B06"/>
    <w:rsid w:val="0099603E"/>
    <w:rsid w:val="009965BD"/>
    <w:rsid w:val="0099682A"/>
    <w:rsid w:val="00996BDC"/>
    <w:rsid w:val="009970DD"/>
    <w:rsid w:val="009977EF"/>
    <w:rsid w:val="009979E6"/>
    <w:rsid w:val="009A005D"/>
    <w:rsid w:val="009A0722"/>
    <w:rsid w:val="009A0FAB"/>
    <w:rsid w:val="009A0FBA"/>
    <w:rsid w:val="009A12BC"/>
    <w:rsid w:val="009A13D5"/>
    <w:rsid w:val="009A1601"/>
    <w:rsid w:val="009A1C6E"/>
    <w:rsid w:val="009A1F67"/>
    <w:rsid w:val="009A240C"/>
    <w:rsid w:val="009A24C8"/>
    <w:rsid w:val="009A257B"/>
    <w:rsid w:val="009A2F3C"/>
    <w:rsid w:val="009A42E3"/>
    <w:rsid w:val="009A45F6"/>
    <w:rsid w:val="009A462D"/>
    <w:rsid w:val="009A4D84"/>
    <w:rsid w:val="009A4DB5"/>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5DBE"/>
    <w:rsid w:val="009B63E2"/>
    <w:rsid w:val="009B6662"/>
    <w:rsid w:val="009B6871"/>
    <w:rsid w:val="009B6F63"/>
    <w:rsid w:val="009B6F97"/>
    <w:rsid w:val="009B7AA5"/>
    <w:rsid w:val="009B7ADC"/>
    <w:rsid w:val="009B7B75"/>
    <w:rsid w:val="009B7E87"/>
    <w:rsid w:val="009C0587"/>
    <w:rsid w:val="009C153C"/>
    <w:rsid w:val="009C19B7"/>
    <w:rsid w:val="009C1F49"/>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BD1"/>
    <w:rsid w:val="009C6D8B"/>
    <w:rsid w:val="009C742A"/>
    <w:rsid w:val="009C784D"/>
    <w:rsid w:val="009C78AC"/>
    <w:rsid w:val="009D0F09"/>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0C3"/>
    <w:rsid w:val="009D718F"/>
    <w:rsid w:val="009D7788"/>
    <w:rsid w:val="009D7E42"/>
    <w:rsid w:val="009E0213"/>
    <w:rsid w:val="009E068F"/>
    <w:rsid w:val="009E07DE"/>
    <w:rsid w:val="009E0C0A"/>
    <w:rsid w:val="009E19BE"/>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062"/>
    <w:rsid w:val="00A04232"/>
    <w:rsid w:val="00A04367"/>
    <w:rsid w:val="00A047D2"/>
    <w:rsid w:val="00A048A8"/>
    <w:rsid w:val="00A04968"/>
    <w:rsid w:val="00A04DCB"/>
    <w:rsid w:val="00A05B47"/>
    <w:rsid w:val="00A05FBE"/>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40E"/>
    <w:rsid w:val="00A204F1"/>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23B"/>
    <w:rsid w:val="00A35469"/>
    <w:rsid w:val="00A35D03"/>
    <w:rsid w:val="00A35EC7"/>
    <w:rsid w:val="00A36297"/>
    <w:rsid w:val="00A364ED"/>
    <w:rsid w:val="00A36EAD"/>
    <w:rsid w:val="00A3755F"/>
    <w:rsid w:val="00A37E7B"/>
    <w:rsid w:val="00A408D4"/>
    <w:rsid w:val="00A40E1E"/>
    <w:rsid w:val="00A419C2"/>
    <w:rsid w:val="00A41E2B"/>
    <w:rsid w:val="00A42250"/>
    <w:rsid w:val="00A4252A"/>
    <w:rsid w:val="00A4264A"/>
    <w:rsid w:val="00A43013"/>
    <w:rsid w:val="00A4318D"/>
    <w:rsid w:val="00A4382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F"/>
    <w:rsid w:val="00A50F41"/>
    <w:rsid w:val="00A5140E"/>
    <w:rsid w:val="00A51584"/>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B09"/>
    <w:rsid w:val="00A60DBF"/>
    <w:rsid w:val="00A6126F"/>
    <w:rsid w:val="00A61295"/>
    <w:rsid w:val="00A61334"/>
    <w:rsid w:val="00A61499"/>
    <w:rsid w:val="00A6160F"/>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067"/>
    <w:rsid w:val="00A705D7"/>
    <w:rsid w:val="00A71528"/>
    <w:rsid w:val="00A71B99"/>
    <w:rsid w:val="00A71E0A"/>
    <w:rsid w:val="00A7246D"/>
    <w:rsid w:val="00A72E81"/>
    <w:rsid w:val="00A73989"/>
    <w:rsid w:val="00A739D0"/>
    <w:rsid w:val="00A73D7E"/>
    <w:rsid w:val="00A746CE"/>
    <w:rsid w:val="00A74F7D"/>
    <w:rsid w:val="00A754EE"/>
    <w:rsid w:val="00A75FEA"/>
    <w:rsid w:val="00A760A5"/>
    <w:rsid w:val="00A761D4"/>
    <w:rsid w:val="00A76375"/>
    <w:rsid w:val="00A773F0"/>
    <w:rsid w:val="00A776B4"/>
    <w:rsid w:val="00A77EC4"/>
    <w:rsid w:val="00A80633"/>
    <w:rsid w:val="00A807B8"/>
    <w:rsid w:val="00A8098B"/>
    <w:rsid w:val="00A81391"/>
    <w:rsid w:val="00A818BC"/>
    <w:rsid w:val="00A82151"/>
    <w:rsid w:val="00A82369"/>
    <w:rsid w:val="00A83B47"/>
    <w:rsid w:val="00A83E60"/>
    <w:rsid w:val="00A8445F"/>
    <w:rsid w:val="00A852ED"/>
    <w:rsid w:val="00A8531C"/>
    <w:rsid w:val="00A85A38"/>
    <w:rsid w:val="00A85B5E"/>
    <w:rsid w:val="00A85D63"/>
    <w:rsid w:val="00A871A3"/>
    <w:rsid w:val="00A8722C"/>
    <w:rsid w:val="00A8722D"/>
    <w:rsid w:val="00A877A9"/>
    <w:rsid w:val="00A87BA5"/>
    <w:rsid w:val="00A90130"/>
    <w:rsid w:val="00A90BCE"/>
    <w:rsid w:val="00A91F23"/>
    <w:rsid w:val="00A920C7"/>
    <w:rsid w:val="00A92879"/>
    <w:rsid w:val="00A92B43"/>
    <w:rsid w:val="00A93D59"/>
    <w:rsid w:val="00A94D11"/>
    <w:rsid w:val="00A9544C"/>
    <w:rsid w:val="00A956A5"/>
    <w:rsid w:val="00A9594B"/>
    <w:rsid w:val="00A96357"/>
    <w:rsid w:val="00A96F70"/>
    <w:rsid w:val="00A97883"/>
    <w:rsid w:val="00A979EE"/>
    <w:rsid w:val="00A97EE2"/>
    <w:rsid w:val="00AA010A"/>
    <w:rsid w:val="00AA016F"/>
    <w:rsid w:val="00AA05E2"/>
    <w:rsid w:val="00AA1D8A"/>
    <w:rsid w:val="00AA1ED6"/>
    <w:rsid w:val="00AA23DA"/>
    <w:rsid w:val="00AA2D26"/>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041"/>
    <w:rsid w:val="00AB3137"/>
    <w:rsid w:val="00AB32E4"/>
    <w:rsid w:val="00AB3B29"/>
    <w:rsid w:val="00AB3B3F"/>
    <w:rsid w:val="00AB4AB8"/>
    <w:rsid w:val="00AB4BAA"/>
    <w:rsid w:val="00AB5469"/>
    <w:rsid w:val="00AB6390"/>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243B"/>
    <w:rsid w:val="00AD3535"/>
    <w:rsid w:val="00AD35BC"/>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EE3"/>
    <w:rsid w:val="00AE2241"/>
    <w:rsid w:val="00AE27AC"/>
    <w:rsid w:val="00AE285B"/>
    <w:rsid w:val="00AE34E7"/>
    <w:rsid w:val="00AE360D"/>
    <w:rsid w:val="00AE39D2"/>
    <w:rsid w:val="00AE3D3C"/>
    <w:rsid w:val="00AE3E5A"/>
    <w:rsid w:val="00AE3FA0"/>
    <w:rsid w:val="00AE40E0"/>
    <w:rsid w:val="00AE4DBA"/>
    <w:rsid w:val="00AE4F07"/>
    <w:rsid w:val="00AE4F12"/>
    <w:rsid w:val="00AE5783"/>
    <w:rsid w:val="00AE5841"/>
    <w:rsid w:val="00AE6351"/>
    <w:rsid w:val="00AE6827"/>
    <w:rsid w:val="00AE71F0"/>
    <w:rsid w:val="00AE7707"/>
    <w:rsid w:val="00AF0F3A"/>
    <w:rsid w:val="00AF104B"/>
    <w:rsid w:val="00AF1C5D"/>
    <w:rsid w:val="00AF1E22"/>
    <w:rsid w:val="00AF271A"/>
    <w:rsid w:val="00AF2982"/>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357"/>
    <w:rsid w:val="00B02AA9"/>
    <w:rsid w:val="00B02D93"/>
    <w:rsid w:val="00B02FA3"/>
    <w:rsid w:val="00B03281"/>
    <w:rsid w:val="00B03D69"/>
    <w:rsid w:val="00B0410A"/>
    <w:rsid w:val="00B04F0D"/>
    <w:rsid w:val="00B05084"/>
    <w:rsid w:val="00B05732"/>
    <w:rsid w:val="00B05E15"/>
    <w:rsid w:val="00B062A5"/>
    <w:rsid w:val="00B069CD"/>
    <w:rsid w:val="00B06EE5"/>
    <w:rsid w:val="00B10477"/>
    <w:rsid w:val="00B106EC"/>
    <w:rsid w:val="00B10EEB"/>
    <w:rsid w:val="00B11356"/>
    <w:rsid w:val="00B11379"/>
    <w:rsid w:val="00B1177A"/>
    <w:rsid w:val="00B11D83"/>
    <w:rsid w:val="00B12447"/>
    <w:rsid w:val="00B128C5"/>
    <w:rsid w:val="00B12D2E"/>
    <w:rsid w:val="00B132FF"/>
    <w:rsid w:val="00B139FE"/>
    <w:rsid w:val="00B143FA"/>
    <w:rsid w:val="00B14569"/>
    <w:rsid w:val="00B146E4"/>
    <w:rsid w:val="00B14B52"/>
    <w:rsid w:val="00B15781"/>
    <w:rsid w:val="00B157F9"/>
    <w:rsid w:val="00B159ED"/>
    <w:rsid w:val="00B15D85"/>
    <w:rsid w:val="00B16527"/>
    <w:rsid w:val="00B168FB"/>
    <w:rsid w:val="00B169C0"/>
    <w:rsid w:val="00B1739D"/>
    <w:rsid w:val="00B17846"/>
    <w:rsid w:val="00B17D61"/>
    <w:rsid w:val="00B17F5F"/>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3C"/>
    <w:rsid w:val="00B318DF"/>
    <w:rsid w:val="00B31A5E"/>
    <w:rsid w:val="00B32210"/>
    <w:rsid w:val="00B3262E"/>
    <w:rsid w:val="00B327BA"/>
    <w:rsid w:val="00B32BC1"/>
    <w:rsid w:val="00B33090"/>
    <w:rsid w:val="00B337BC"/>
    <w:rsid w:val="00B34A46"/>
    <w:rsid w:val="00B35997"/>
    <w:rsid w:val="00B35999"/>
    <w:rsid w:val="00B3635D"/>
    <w:rsid w:val="00B36EF9"/>
    <w:rsid w:val="00B36F25"/>
    <w:rsid w:val="00B36F3A"/>
    <w:rsid w:val="00B372AA"/>
    <w:rsid w:val="00B40445"/>
    <w:rsid w:val="00B40B51"/>
    <w:rsid w:val="00B4114D"/>
    <w:rsid w:val="00B41888"/>
    <w:rsid w:val="00B41D9F"/>
    <w:rsid w:val="00B42496"/>
    <w:rsid w:val="00B43280"/>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4F0"/>
    <w:rsid w:val="00B54858"/>
    <w:rsid w:val="00B54C92"/>
    <w:rsid w:val="00B5555D"/>
    <w:rsid w:val="00B556DC"/>
    <w:rsid w:val="00B57004"/>
    <w:rsid w:val="00B57291"/>
    <w:rsid w:val="00B573C1"/>
    <w:rsid w:val="00B575E0"/>
    <w:rsid w:val="00B57A4E"/>
    <w:rsid w:val="00B57B83"/>
    <w:rsid w:val="00B57D38"/>
    <w:rsid w:val="00B57D49"/>
    <w:rsid w:val="00B57FF9"/>
    <w:rsid w:val="00B60031"/>
    <w:rsid w:val="00B60762"/>
    <w:rsid w:val="00B60BB3"/>
    <w:rsid w:val="00B61B25"/>
    <w:rsid w:val="00B61CEF"/>
    <w:rsid w:val="00B62389"/>
    <w:rsid w:val="00B62BEF"/>
    <w:rsid w:val="00B62C26"/>
    <w:rsid w:val="00B63658"/>
    <w:rsid w:val="00B63B2E"/>
    <w:rsid w:val="00B63B96"/>
    <w:rsid w:val="00B63CEF"/>
    <w:rsid w:val="00B63DE3"/>
    <w:rsid w:val="00B64357"/>
    <w:rsid w:val="00B6446E"/>
    <w:rsid w:val="00B64984"/>
    <w:rsid w:val="00B64A5E"/>
    <w:rsid w:val="00B64B37"/>
    <w:rsid w:val="00B64F12"/>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4CC0"/>
    <w:rsid w:val="00B75F5A"/>
    <w:rsid w:val="00B76D2A"/>
    <w:rsid w:val="00B770EE"/>
    <w:rsid w:val="00B777F2"/>
    <w:rsid w:val="00B77FFB"/>
    <w:rsid w:val="00B81462"/>
    <w:rsid w:val="00B81788"/>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619"/>
    <w:rsid w:val="00B87A0F"/>
    <w:rsid w:val="00B9021E"/>
    <w:rsid w:val="00B909B5"/>
    <w:rsid w:val="00B90BFF"/>
    <w:rsid w:val="00B90F73"/>
    <w:rsid w:val="00B911CA"/>
    <w:rsid w:val="00B9122B"/>
    <w:rsid w:val="00B91449"/>
    <w:rsid w:val="00B915F9"/>
    <w:rsid w:val="00B917F9"/>
    <w:rsid w:val="00B92899"/>
    <w:rsid w:val="00B92CED"/>
    <w:rsid w:val="00B92F46"/>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65BE"/>
    <w:rsid w:val="00B97BB4"/>
    <w:rsid w:val="00B97C21"/>
    <w:rsid w:val="00B97D91"/>
    <w:rsid w:val="00B97EC2"/>
    <w:rsid w:val="00B97FBF"/>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22"/>
    <w:rsid w:val="00BA70BB"/>
    <w:rsid w:val="00BA7664"/>
    <w:rsid w:val="00BA76E0"/>
    <w:rsid w:val="00BB0200"/>
    <w:rsid w:val="00BB0416"/>
    <w:rsid w:val="00BB0A24"/>
    <w:rsid w:val="00BB0DE4"/>
    <w:rsid w:val="00BB1893"/>
    <w:rsid w:val="00BB1B23"/>
    <w:rsid w:val="00BB21B4"/>
    <w:rsid w:val="00BB2782"/>
    <w:rsid w:val="00BB2863"/>
    <w:rsid w:val="00BB2A25"/>
    <w:rsid w:val="00BB2B8E"/>
    <w:rsid w:val="00BB2BED"/>
    <w:rsid w:val="00BB2EEF"/>
    <w:rsid w:val="00BB30F3"/>
    <w:rsid w:val="00BB3CD1"/>
    <w:rsid w:val="00BB51F7"/>
    <w:rsid w:val="00BB56A9"/>
    <w:rsid w:val="00BB5DE5"/>
    <w:rsid w:val="00BB6BE1"/>
    <w:rsid w:val="00BB6E21"/>
    <w:rsid w:val="00BB703C"/>
    <w:rsid w:val="00BC024D"/>
    <w:rsid w:val="00BC0334"/>
    <w:rsid w:val="00BC0742"/>
    <w:rsid w:val="00BC0979"/>
    <w:rsid w:val="00BC0BC7"/>
    <w:rsid w:val="00BC0CE6"/>
    <w:rsid w:val="00BC0F31"/>
    <w:rsid w:val="00BC0FC0"/>
    <w:rsid w:val="00BC0FDC"/>
    <w:rsid w:val="00BC1353"/>
    <w:rsid w:val="00BC1A21"/>
    <w:rsid w:val="00BC1B66"/>
    <w:rsid w:val="00BC2494"/>
    <w:rsid w:val="00BC40D6"/>
    <w:rsid w:val="00BC4838"/>
    <w:rsid w:val="00BC4D2E"/>
    <w:rsid w:val="00BC4E54"/>
    <w:rsid w:val="00BC67E7"/>
    <w:rsid w:val="00BC74D1"/>
    <w:rsid w:val="00BC7B08"/>
    <w:rsid w:val="00BD0073"/>
    <w:rsid w:val="00BD08E4"/>
    <w:rsid w:val="00BD48AC"/>
    <w:rsid w:val="00BD4A4B"/>
    <w:rsid w:val="00BD4AB0"/>
    <w:rsid w:val="00BD4AE4"/>
    <w:rsid w:val="00BD55BA"/>
    <w:rsid w:val="00BD5762"/>
    <w:rsid w:val="00BD5CE7"/>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6F22"/>
    <w:rsid w:val="00BE7406"/>
    <w:rsid w:val="00BE7603"/>
    <w:rsid w:val="00BE776C"/>
    <w:rsid w:val="00BE77BF"/>
    <w:rsid w:val="00BE78D7"/>
    <w:rsid w:val="00BE7FC4"/>
    <w:rsid w:val="00BF0A17"/>
    <w:rsid w:val="00BF17FD"/>
    <w:rsid w:val="00BF192B"/>
    <w:rsid w:val="00BF1EDF"/>
    <w:rsid w:val="00BF2B69"/>
    <w:rsid w:val="00BF2DBC"/>
    <w:rsid w:val="00BF3279"/>
    <w:rsid w:val="00BF3F37"/>
    <w:rsid w:val="00BF4BBF"/>
    <w:rsid w:val="00BF512B"/>
    <w:rsid w:val="00BF51F4"/>
    <w:rsid w:val="00BF5C1F"/>
    <w:rsid w:val="00BF6454"/>
    <w:rsid w:val="00BF657B"/>
    <w:rsid w:val="00BF6EEA"/>
    <w:rsid w:val="00BF6FD7"/>
    <w:rsid w:val="00BF74C7"/>
    <w:rsid w:val="00C00591"/>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07D5A"/>
    <w:rsid w:val="00C100E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6CF7"/>
    <w:rsid w:val="00C17316"/>
    <w:rsid w:val="00C17E7F"/>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82D"/>
    <w:rsid w:val="00C32FA7"/>
    <w:rsid w:val="00C331F5"/>
    <w:rsid w:val="00C33F42"/>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CB9"/>
    <w:rsid w:val="00C41EB7"/>
    <w:rsid w:val="00C426FB"/>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90F"/>
    <w:rsid w:val="00C53AD2"/>
    <w:rsid w:val="00C53B4B"/>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8D"/>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1DB"/>
    <w:rsid w:val="00C84C4B"/>
    <w:rsid w:val="00C857B3"/>
    <w:rsid w:val="00C85DC0"/>
    <w:rsid w:val="00C860EE"/>
    <w:rsid w:val="00C86BC4"/>
    <w:rsid w:val="00C86CFF"/>
    <w:rsid w:val="00C87226"/>
    <w:rsid w:val="00C87AD6"/>
    <w:rsid w:val="00C87B8F"/>
    <w:rsid w:val="00C90163"/>
    <w:rsid w:val="00C9027A"/>
    <w:rsid w:val="00C9068E"/>
    <w:rsid w:val="00C90B1C"/>
    <w:rsid w:val="00C91176"/>
    <w:rsid w:val="00C91861"/>
    <w:rsid w:val="00C919CD"/>
    <w:rsid w:val="00C92692"/>
    <w:rsid w:val="00C929F7"/>
    <w:rsid w:val="00C93490"/>
    <w:rsid w:val="00C934FD"/>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18C"/>
    <w:rsid w:val="00CA2CE3"/>
    <w:rsid w:val="00CA37F6"/>
    <w:rsid w:val="00CA384C"/>
    <w:rsid w:val="00CA38D6"/>
    <w:rsid w:val="00CA39A2"/>
    <w:rsid w:val="00CA3A68"/>
    <w:rsid w:val="00CA3DFD"/>
    <w:rsid w:val="00CA3E47"/>
    <w:rsid w:val="00CA3EE9"/>
    <w:rsid w:val="00CA4724"/>
    <w:rsid w:val="00CA4D98"/>
    <w:rsid w:val="00CA4E1A"/>
    <w:rsid w:val="00CA4E58"/>
    <w:rsid w:val="00CA59E2"/>
    <w:rsid w:val="00CA5D20"/>
    <w:rsid w:val="00CA6781"/>
    <w:rsid w:val="00CA6AE8"/>
    <w:rsid w:val="00CA76BA"/>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9C7"/>
    <w:rsid w:val="00CC4E43"/>
    <w:rsid w:val="00CC51F4"/>
    <w:rsid w:val="00CC5224"/>
    <w:rsid w:val="00CC5C3E"/>
    <w:rsid w:val="00CC5D4D"/>
    <w:rsid w:val="00CC66FA"/>
    <w:rsid w:val="00CC67A1"/>
    <w:rsid w:val="00CC6FA3"/>
    <w:rsid w:val="00CC71A0"/>
    <w:rsid w:val="00CC7B45"/>
    <w:rsid w:val="00CD07FC"/>
    <w:rsid w:val="00CD0B1E"/>
    <w:rsid w:val="00CD0D82"/>
    <w:rsid w:val="00CD1188"/>
    <w:rsid w:val="00CD15BB"/>
    <w:rsid w:val="00CD21C0"/>
    <w:rsid w:val="00CD2ED1"/>
    <w:rsid w:val="00CD30B5"/>
    <w:rsid w:val="00CD337B"/>
    <w:rsid w:val="00CD3D40"/>
    <w:rsid w:val="00CD40DC"/>
    <w:rsid w:val="00CD44AA"/>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9A2"/>
    <w:rsid w:val="00CE4A12"/>
    <w:rsid w:val="00CE4B16"/>
    <w:rsid w:val="00CE56A9"/>
    <w:rsid w:val="00CE59DC"/>
    <w:rsid w:val="00CE5B18"/>
    <w:rsid w:val="00CE5EBF"/>
    <w:rsid w:val="00CE6759"/>
    <w:rsid w:val="00CE7561"/>
    <w:rsid w:val="00CE75E3"/>
    <w:rsid w:val="00CF0548"/>
    <w:rsid w:val="00CF07BD"/>
    <w:rsid w:val="00CF0924"/>
    <w:rsid w:val="00CF0C35"/>
    <w:rsid w:val="00CF11F6"/>
    <w:rsid w:val="00CF1354"/>
    <w:rsid w:val="00CF2829"/>
    <w:rsid w:val="00CF3750"/>
    <w:rsid w:val="00CF39B8"/>
    <w:rsid w:val="00CF3B1F"/>
    <w:rsid w:val="00CF3BF6"/>
    <w:rsid w:val="00CF3C36"/>
    <w:rsid w:val="00CF44B9"/>
    <w:rsid w:val="00CF5022"/>
    <w:rsid w:val="00CF5117"/>
    <w:rsid w:val="00CF5672"/>
    <w:rsid w:val="00CF57A9"/>
    <w:rsid w:val="00CF5A7D"/>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0DAF"/>
    <w:rsid w:val="00D212E2"/>
    <w:rsid w:val="00D21443"/>
    <w:rsid w:val="00D21E25"/>
    <w:rsid w:val="00D22013"/>
    <w:rsid w:val="00D22DD2"/>
    <w:rsid w:val="00D235FD"/>
    <w:rsid w:val="00D239A7"/>
    <w:rsid w:val="00D23CBB"/>
    <w:rsid w:val="00D23F47"/>
    <w:rsid w:val="00D24400"/>
    <w:rsid w:val="00D248DC"/>
    <w:rsid w:val="00D24B5D"/>
    <w:rsid w:val="00D25297"/>
    <w:rsid w:val="00D25F93"/>
    <w:rsid w:val="00D2689F"/>
    <w:rsid w:val="00D26BD8"/>
    <w:rsid w:val="00D26C60"/>
    <w:rsid w:val="00D26F3D"/>
    <w:rsid w:val="00D26F4D"/>
    <w:rsid w:val="00D27619"/>
    <w:rsid w:val="00D27938"/>
    <w:rsid w:val="00D27BE2"/>
    <w:rsid w:val="00D27DA6"/>
    <w:rsid w:val="00D3122B"/>
    <w:rsid w:val="00D31732"/>
    <w:rsid w:val="00D31C11"/>
    <w:rsid w:val="00D31EF3"/>
    <w:rsid w:val="00D32001"/>
    <w:rsid w:val="00D32390"/>
    <w:rsid w:val="00D32482"/>
    <w:rsid w:val="00D324BC"/>
    <w:rsid w:val="00D32F1F"/>
    <w:rsid w:val="00D341A0"/>
    <w:rsid w:val="00D3467D"/>
    <w:rsid w:val="00D352F6"/>
    <w:rsid w:val="00D3608F"/>
    <w:rsid w:val="00D362BC"/>
    <w:rsid w:val="00D36E71"/>
    <w:rsid w:val="00D37053"/>
    <w:rsid w:val="00D3771F"/>
    <w:rsid w:val="00D37D87"/>
    <w:rsid w:val="00D40420"/>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693B"/>
    <w:rsid w:val="00D47486"/>
    <w:rsid w:val="00D47654"/>
    <w:rsid w:val="00D47DFC"/>
    <w:rsid w:val="00D5019F"/>
    <w:rsid w:val="00D50281"/>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9A7"/>
    <w:rsid w:val="00D87A94"/>
    <w:rsid w:val="00D87BD7"/>
    <w:rsid w:val="00D90375"/>
    <w:rsid w:val="00D91078"/>
    <w:rsid w:val="00D9127D"/>
    <w:rsid w:val="00D91733"/>
    <w:rsid w:val="00D9196D"/>
    <w:rsid w:val="00D92036"/>
    <w:rsid w:val="00D92982"/>
    <w:rsid w:val="00D929BE"/>
    <w:rsid w:val="00D929C9"/>
    <w:rsid w:val="00D9383B"/>
    <w:rsid w:val="00D9396B"/>
    <w:rsid w:val="00D9460B"/>
    <w:rsid w:val="00D9537D"/>
    <w:rsid w:val="00D9579E"/>
    <w:rsid w:val="00D95A1E"/>
    <w:rsid w:val="00D9613D"/>
    <w:rsid w:val="00D9704D"/>
    <w:rsid w:val="00D970BA"/>
    <w:rsid w:val="00D977E9"/>
    <w:rsid w:val="00D97B8A"/>
    <w:rsid w:val="00DA079E"/>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3EC"/>
    <w:rsid w:val="00DC28C0"/>
    <w:rsid w:val="00DC2D36"/>
    <w:rsid w:val="00DC3D86"/>
    <w:rsid w:val="00DC45B2"/>
    <w:rsid w:val="00DC4F13"/>
    <w:rsid w:val="00DC53EF"/>
    <w:rsid w:val="00DC5E99"/>
    <w:rsid w:val="00DC5FB3"/>
    <w:rsid w:val="00DC6129"/>
    <w:rsid w:val="00DC631A"/>
    <w:rsid w:val="00DC6DC7"/>
    <w:rsid w:val="00DC709A"/>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55A"/>
    <w:rsid w:val="00DE48BD"/>
    <w:rsid w:val="00DE5176"/>
    <w:rsid w:val="00DE5608"/>
    <w:rsid w:val="00DE58D0"/>
    <w:rsid w:val="00DE5ADC"/>
    <w:rsid w:val="00DE602F"/>
    <w:rsid w:val="00DE654F"/>
    <w:rsid w:val="00DE6BFB"/>
    <w:rsid w:val="00DE7C87"/>
    <w:rsid w:val="00DF0054"/>
    <w:rsid w:val="00DF0280"/>
    <w:rsid w:val="00DF1016"/>
    <w:rsid w:val="00DF10A0"/>
    <w:rsid w:val="00DF15E0"/>
    <w:rsid w:val="00DF1A70"/>
    <w:rsid w:val="00DF2A7B"/>
    <w:rsid w:val="00DF2DFD"/>
    <w:rsid w:val="00DF32AC"/>
    <w:rsid w:val="00DF37A0"/>
    <w:rsid w:val="00DF44D9"/>
    <w:rsid w:val="00DF47EF"/>
    <w:rsid w:val="00DF4819"/>
    <w:rsid w:val="00DF4927"/>
    <w:rsid w:val="00DF507A"/>
    <w:rsid w:val="00DF509E"/>
    <w:rsid w:val="00DF5CEF"/>
    <w:rsid w:val="00DF5F19"/>
    <w:rsid w:val="00DF60A9"/>
    <w:rsid w:val="00DF695B"/>
    <w:rsid w:val="00DF6C7A"/>
    <w:rsid w:val="00DF6FCF"/>
    <w:rsid w:val="00DF717D"/>
    <w:rsid w:val="00DF7DB1"/>
    <w:rsid w:val="00DF7F58"/>
    <w:rsid w:val="00E00E88"/>
    <w:rsid w:val="00E00F27"/>
    <w:rsid w:val="00E013F8"/>
    <w:rsid w:val="00E01521"/>
    <w:rsid w:val="00E015F1"/>
    <w:rsid w:val="00E0203C"/>
    <w:rsid w:val="00E022FC"/>
    <w:rsid w:val="00E02F50"/>
    <w:rsid w:val="00E04BB2"/>
    <w:rsid w:val="00E05500"/>
    <w:rsid w:val="00E060FC"/>
    <w:rsid w:val="00E071E9"/>
    <w:rsid w:val="00E07799"/>
    <w:rsid w:val="00E078E2"/>
    <w:rsid w:val="00E07CBA"/>
    <w:rsid w:val="00E07E6C"/>
    <w:rsid w:val="00E10E81"/>
    <w:rsid w:val="00E10E95"/>
    <w:rsid w:val="00E110E7"/>
    <w:rsid w:val="00E11B20"/>
    <w:rsid w:val="00E12763"/>
    <w:rsid w:val="00E128BD"/>
    <w:rsid w:val="00E12923"/>
    <w:rsid w:val="00E13310"/>
    <w:rsid w:val="00E13367"/>
    <w:rsid w:val="00E13AB8"/>
    <w:rsid w:val="00E140BD"/>
    <w:rsid w:val="00E14C1C"/>
    <w:rsid w:val="00E151C0"/>
    <w:rsid w:val="00E151DF"/>
    <w:rsid w:val="00E15432"/>
    <w:rsid w:val="00E155C6"/>
    <w:rsid w:val="00E158A7"/>
    <w:rsid w:val="00E158E4"/>
    <w:rsid w:val="00E160C0"/>
    <w:rsid w:val="00E16C70"/>
    <w:rsid w:val="00E17A3B"/>
    <w:rsid w:val="00E17B29"/>
    <w:rsid w:val="00E17CA0"/>
    <w:rsid w:val="00E17FA2"/>
    <w:rsid w:val="00E20025"/>
    <w:rsid w:val="00E2063D"/>
    <w:rsid w:val="00E2105A"/>
    <w:rsid w:val="00E21399"/>
    <w:rsid w:val="00E21520"/>
    <w:rsid w:val="00E2171D"/>
    <w:rsid w:val="00E21DD4"/>
    <w:rsid w:val="00E23448"/>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A21"/>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D68"/>
    <w:rsid w:val="00E4538B"/>
    <w:rsid w:val="00E4545A"/>
    <w:rsid w:val="00E455B6"/>
    <w:rsid w:val="00E456C2"/>
    <w:rsid w:val="00E46886"/>
    <w:rsid w:val="00E47AEF"/>
    <w:rsid w:val="00E500A5"/>
    <w:rsid w:val="00E50125"/>
    <w:rsid w:val="00E5019A"/>
    <w:rsid w:val="00E50506"/>
    <w:rsid w:val="00E5067D"/>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59"/>
    <w:rsid w:val="00E579A7"/>
    <w:rsid w:val="00E57F7B"/>
    <w:rsid w:val="00E6057E"/>
    <w:rsid w:val="00E6114E"/>
    <w:rsid w:val="00E618B3"/>
    <w:rsid w:val="00E61B94"/>
    <w:rsid w:val="00E61BAF"/>
    <w:rsid w:val="00E622FB"/>
    <w:rsid w:val="00E62374"/>
    <w:rsid w:val="00E629CA"/>
    <w:rsid w:val="00E63838"/>
    <w:rsid w:val="00E63AFC"/>
    <w:rsid w:val="00E64434"/>
    <w:rsid w:val="00E6485E"/>
    <w:rsid w:val="00E648E6"/>
    <w:rsid w:val="00E64D8B"/>
    <w:rsid w:val="00E6515D"/>
    <w:rsid w:val="00E65502"/>
    <w:rsid w:val="00E65D80"/>
    <w:rsid w:val="00E66225"/>
    <w:rsid w:val="00E66570"/>
    <w:rsid w:val="00E66A77"/>
    <w:rsid w:val="00E66A97"/>
    <w:rsid w:val="00E67C51"/>
    <w:rsid w:val="00E67E5D"/>
    <w:rsid w:val="00E703CA"/>
    <w:rsid w:val="00E70E4F"/>
    <w:rsid w:val="00E71515"/>
    <w:rsid w:val="00E71670"/>
    <w:rsid w:val="00E71A10"/>
    <w:rsid w:val="00E71B86"/>
    <w:rsid w:val="00E71B9B"/>
    <w:rsid w:val="00E72B54"/>
    <w:rsid w:val="00E72EFC"/>
    <w:rsid w:val="00E749C9"/>
    <w:rsid w:val="00E751EB"/>
    <w:rsid w:val="00E758EC"/>
    <w:rsid w:val="00E75B4D"/>
    <w:rsid w:val="00E763B2"/>
    <w:rsid w:val="00E76421"/>
    <w:rsid w:val="00E7776E"/>
    <w:rsid w:val="00E77CE1"/>
    <w:rsid w:val="00E80928"/>
    <w:rsid w:val="00E80E09"/>
    <w:rsid w:val="00E80F82"/>
    <w:rsid w:val="00E810A1"/>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B8"/>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5F7"/>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424"/>
    <w:rsid w:val="00ED78C9"/>
    <w:rsid w:val="00EE0624"/>
    <w:rsid w:val="00EE0B58"/>
    <w:rsid w:val="00EE0D13"/>
    <w:rsid w:val="00EE1F98"/>
    <w:rsid w:val="00EE280C"/>
    <w:rsid w:val="00EE28F5"/>
    <w:rsid w:val="00EE35AB"/>
    <w:rsid w:val="00EE3D18"/>
    <w:rsid w:val="00EE4168"/>
    <w:rsid w:val="00EE4346"/>
    <w:rsid w:val="00EE5761"/>
    <w:rsid w:val="00EE593B"/>
    <w:rsid w:val="00EE610B"/>
    <w:rsid w:val="00EE6B5A"/>
    <w:rsid w:val="00EE7CE1"/>
    <w:rsid w:val="00EF00FF"/>
    <w:rsid w:val="00EF163D"/>
    <w:rsid w:val="00EF18FE"/>
    <w:rsid w:val="00EF1B8B"/>
    <w:rsid w:val="00EF2160"/>
    <w:rsid w:val="00EF2981"/>
    <w:rsid w:val="00EF3591"/>
    <w:rsid w:val="00EF3AD5"/>
    <w:rsid w:val="00EF3D20"/>
    <w:rsid w:val="00EF424E"/>
    <w:rsid w:val="00EF4C8C"/>
    <w:rsid w:val="00EF5302"/>
    <w:rsid w:val="00EF53CD"/>
    <w:rsid w:val="00EF5787"/>
    <w:rsid w:val="00EF5E6B"/>
    <w:rsid w:val="00EF60D0"/>
    <w:rsid w:val="00EF6191"/>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CCC"/>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82B"/>
    <w:rsid w:val="00F27994"/>
    <w:rsid w:val="00F27FAF"/>
    <w:rsid w:val="00F305F6"/>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D58"/>
    <w:rsid w:val="00F36E1A"/>
    <w:rsid w:val="00F375CE"/>
    <w:rsid w:val="00F376AF"/>
    <w:rsid w:val="00F3773E"/>
    <w:rsid w:val="00F40473"/>
    <w:rsid w:val="00F41114"/>
    <w:rsid w:val="00F411BE"/>
    <w:rsid w:val="00F413CC"/>
    <w:rsid w:val="00F42ABF"/>
    <w:rsid w:val="00F434C6"/>
    <w:rsid w:val="00F43D4A"/>
    <w:rsid w:val="00F43F65"/>
    <w:rsid w:val="00F4469F"/>
    <w:rsid w:val="00F452CC"/>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7C9"/>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AF2"/>
    <w:rsid w:val="00F64C2B"/>
    <w:rsid w:val="00F64DC0"/>
    <w:rsid w:val="00F651BE"/>
    <w:rsid w:val="00F65F27"/>
    <w:rsid w:val="00F660C3"/>
    <w:rsid w:val="00F66CAB"/>
    <w:rsid w:val="00F675DB"/>
    <w:rsid w:val="00F67E37"/>
    <w:rsid w:val="00F67F53"/>
    <w:rsid w:val="00F70104"/>
    <w:rsid w:val="00F703BE"/>
    <w:rsid w:val="00F706AB"/>
    <w:rsid w:val="00F7076E"/>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6FD0"/>
    <w:rsid w:val="00F872AD"/>
    <w:rsid w:val="00F874F0"/>
    <w:rsid w:val="00F87537"/>
    <w:rsid w:val="00F87A58"/>
    <w:rsid w:val="00F90344"/>
    <w:rsid w:val="00F9056A"/>
    <w:rsid w:val="00F90B10"/>
    <w:rsid w:val="00F90F8D"/>
    <w:rsid w:val="00F918FA"/>
    <w:rsid w:val="00F91ADD"/>
    <w:rsid w:val="00F91C3C"/>
    <w:rsid w:val="00F91DF0"/>
    <w:rsid w:val="00F92782"/>
    <w:rsid w:val="00F9288B"/>
    <w:rsid w:val="00F9378A"/>
    <w:rsid w:val="00F93AA9"/>
    <w:rsid w:val="00F94161"/>
    <w:rsid w:val="00F9453D"/>
    <w:rsid w:val="00F963B0"/>
    <w:rsid w:val="00F964BE"/>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4C48"/>
    <w:rsid w:val="00FA4FD5"/>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422"/>
    <w:rsid w:val="00FB5944"/>
    <w:rsid w:val="00FB5AE1"/>
    <w:rsid w:val="00FB6087"/>
    <w:rsid w:val="00FB6BA8"/>
    <w:rsid w:val="00FB7389"/>
    <w:rsid w:val="00FB7986"/>
    <w:rsid w:val="00FB7B1B"/>
    <w:rsid w:val="00FC186B"/>
    <w:rsid w:val="00FC1DCB"/>
    <w:rsid w:val="00FC2019"/>
    <w:rsid w:val="00FC2BB2"/>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A8D"/>
    <w:rsid w:val="00FE3FFB"/>
    <w:rsid w:val="00FE48EB"/>
    <w:rsid w:val="00FE4C7B"/>
    <w:rsid w:val="00FE4CA9"/>
    <w:rsid w:val="00FE4D7E"/>
    <w:rsid w:val="00FE4E46"/>
    <w:rsid w:val="00FE4E6F"/>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B85"/>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99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C49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499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customXml/itemProps4.xml><?xml version="1.0" encoding="utf-8"?>
<ds:datastoreItem xmlns:ds="http://schemas.openxmlformats.org/officeDocument/2006/customXml" ds:itemID="{A28B9675-AF63-4E2F-B934-6A470B80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2022-01-11T13:35:00Z</dcterms:created>
  <dcterms:modified xsi:type="dcterms:W3CDTF">2022-01-11T18:29:00Z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